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240" w:lineRule="atLeast"/>
        <w:jc w:val="center"/>
        <w:rPr>
          <w:sz w:val="28"/>
          <w:szCs w:val="28"/>
        </w:rPr>
      </w:pPr>
      <w:r>
        <w:rPr>
          <w:rFonts w:hint="eastAsia"/>
          <w:sz w:val="28"/>
          <w:szCs w:val="28"/>
        </w:rPr>
        <w:t>苏州大学苏州医学院公共卫生学院学业奖学金评定细则</w:t>
      </w:r>
    </w:p>
    <w:p>
      <w:pPr>
        <w:pStyle w:val="3"/>
        <w:spacing w:before="156" w:beforeLines="50" w:after="156" w:afterLines="50" w:line="240" w:lineRule="atLeast"/>
        <w:jc w:val="center"/>
        <w:rPr>
          <w:rFonts w:ascii="宋体" w:hAnsi="宋体"/>
          <w:sz w:val="28"/>
          <w:szCs w:val="28"/>
        </w:rPr>
      </w:pPr>
      <w:r>
        <w:rPr>
          <w:rFonts w:hint="eastAsia" w:ascii="宋体" w:hAnsi="宋体"/>
          <w:sz w:val="28"/>
          <w:szCs w:val="28"/>
        </w:rPr>
        <w:t>第一章 总则</w:t>
      </w:r>
    </w:p>
    <w:p>
      <w:pPr>
        <w:pStyle w:val="4"/>
        <w:spacing w:before="156" w:beforeLines="50" w:after="156" w:afterLines="50" w:line="240" w:lineRule="atLeast"/>
        <w:rPr>
          <w:szCs w:val="28"/>
        </w:rPr>
      </w:pPr>
      <w:r>
        <w:rPr>
          <w:rFonts w:hint="eastAsia"/>
          <w:szCs w:val="28"/>
        </w:rPr>
        <w:t>第一条 概要</w:t>
      </w:r>
    </w:p>
    <w:p>
      <w:pPr>
        <w:spacing w:before="156" w:beforeLines="50" w:after="156" w:afterLines="50" w:line="240" w:lineRule="atLeast"/>
        <w:ind w:firstLine="560" w:firstLineChars="200"/>
        <w:rPr>
          <w:rFonts w:ascii="仿宋" w:hAnsi="仿宋" w:eastAsia="仿宋" w:cs="Times New Roman"/>
          <w:color w:val="auto"/>
          <w:sz w:val="28"/>
          <w:szCs w:val="28"/>
        </w:rPr>
      </w:pPr>
      <w:r>
        <w:rPr>
          <w:rFonts w:hint="eastAsia" w:ascii="仿宋" w:hAnsi="仿宋" w:eastAsia="仿宋" w:cs="宋体"/>
          <w:color w:val="auto"/>
          <w:kern w:val="0"/>
          <w:sz w:val="28"/>
          <w:szCs w:val="28"/>
        </w:rPr>
        <w:t>根据《财政部、国家发改委、教育部关于完善研究生学业奖学金管理暂行办法》（财教〔</w:t>
      </w:r>
      <w:r>
        <w:rPr>
          <w:rFonts w:ascii="仿宋" w:hAnsi="仿宋" w:eastAsia="仿宋" w:cs="宋体"/>
          <w:color w:val="auto"/>
          <w:kern w:val="0"/>
          <w:sz w:val="28"/>
          <w:szCs w:val="28"/>
        </w:rPr>
        <w:t>2013〕219号）、江苏省财政厅、教育厅关于印发《江苏省研究生学业奖学金管理暂行办法》的通知（苏财规〔2014〕2号）和《苏州大学研究生奖助学金管理条例（2018年修订）》（苏大研〔2018〕29号）文件精神，</w:t>
      </w:r>
      <w:r>
        <w:rPr>
          <w:rFonts w:hint="eastAsia" w:ascii="仿宋" w:hAnsi="仿宋" w:eastAsia="仿宋" w:cs="宋体"/>
          <w:color w:val="auto"/>
          <w:kern w:val="0"/>
          <w:sz w:val="28"/>
          <w:szCs w:val="28"/>
        </w:rPr>
        <w:t xml:space="preserve"> 参照《苏州大学研究生学业奖学金评定细则》</w:t>
      </w:r>
      <w:r>
        <w:rPr>
          <w:rFonts w:hint="eastAsia" w:ascii="仿宋" w:hAnsi="仿宋" w:eastAsia="仿宋" w:cs="宋体"/>
          <w:color w:val="auto"/>
          <w:kern w:val="0"/>
          <w:sz w:val="28"/>
          <w:szCs w:val="28"/>
          <w:lang w:eastAsia="zh-CN"/>
        </w:rPr>
        <w:t>《苏州大学苏州医学院研究生奖助学金评定细则（试行）》</w:t>
      </w:r>
      <w:r>
        <w:rPr>
          <w:rFonts w:hint="eastAsia" w:ascii="仿宋" w:hAnsi="仿宋" w:eastAsia="仿宋" w:cs="宋体"/>
          <w:color w:val="auto"/>
          <w:kern w:val="0"/>
          <w:sz w:val="28"/>
          <w:szCs w:val="28"/>
        </w:rPr>
        <w:t>的实施办法，</w:t>
      </w:r>
      <w:r>
        <w:rPr>
          <w:rFonts w:hint="eastAsia" w:ascii="仿宋" w:hAnsi="仿宋" w:eastAsia="仿宋" w:cs="Times New Roman"/>
          <w:color w:val="auto"/>
          <w:sz w:val="28"/>
          <w:szCs w:val="28"/>
        </w:rPr>
        <w:t>为规范研究生学业奖学金的评定工作，充分调动广大研究生学习、科研和服务社会的积极性，促进创新人才培养，现对公共卫生学院研究生学业奖学金评定细则进行如下修订。</w:t>
      </w:r>
    </w:p>
    <w:p>
      <w:pPr>
        <w:spacing w:before="156" w:beforeLines="50" w:after="156" w:afterLines="50" w:line="240" w:lineRule="atLeast"/>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本细则所称研究生是指纳入全国研究生招生计划且具有中华人民共和国国籍的全日制研究生（有固定工资收入的除外）。</w:t>
      </w:r>
    </w:p>
    <w:p>
      <w:pPr>
        <w:pStyle w:val="3"/>
        <w:spacing w:before="156" w:beforeLines="50" w:after="156" w:afterLines="50" w:line="240" w:lineRule="atLeast"/>
        <w:jc w:val="center"/>
        <w:rPr>
          <w:color w:val="auto"/>
          <w:sz w:val="28"/>
          <w:szCs w:val="28"/>
        </w:rPr>
      </w:pPr>
      <w:r>
        <w:rPr>
          <w:rFonts w:hint="eastAsia"/>
          <w:color w:val="auto"/>
          <w:sz w:val="28"/>
          <w:szCs w:val="28"/>
        </w:rPr>
        <w:t>第二章 申报对象、名额奖额及申报条件</w:t>
      </w:r>
    </w:p>
    <w:p>
      <w:pPr>
        <w:pStyle w:val="4"/>
        <w:spacing w:before="156" w:beforeLines="50" w:after="156" w:afterLines="50" w:line="240" w:lineRule="atLeast"/>
        <w:rPr>
          <w:color w:val="auto"/>
          <w:szCs w:val="28"/>
        </w:rPr>
      </w:pPr>
      <w:r>
        <w:rPr>
          <w:rFonts w:hint="eastAsia"/>
          <w:color w:val="auto"/>
          <w:szCs w:val="28"/>
        </w:rPr>
        <w:t>第二条 申报对象</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研究生学业奖学金的参评对象是基本学制年限内在校在学的全日制研究生，并且其人事档案（已参加工作的包含工资关系）须转入我校。</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硕博连读研究生在注册为博士研究生之前，按照硕士研究生身份参与学业奖学金评定；注册为博士研究生后，按照博士研究生身份参与学业奖学金评定。</w:t>
      </w:r>
    </w:p>
    <w:p>
      <w:pPr>
        <w:pStyle w:val="4"/>
        <w:spacing w:before="156" w:beforeLines="50" w:after="156" w:afterLines="50" w:line="240" w:lineRule="atLeast"/>
        <w:rPr>
          <w:color w:val="auto"/>
          <w:szCs w:val="28"/>
        </w:rPr>
      </w:pPr>
      <w:r>
        <w:rPr>
          <w:rFonts w:hint="eastAsia"/>
          <w:color w:val="auto"/>
          <w:szCs w:val="28"/>
        </w:rPr>
        <w:t>第三条 分配名额及奖励标准</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研究生学业奖学金奖励等级与标准参照学校标准执行，如在招生时有特别规定的，则按相关规定执行。</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ascii="仿宋" w:hAnsi="仿宋" w:eastAsia="仿宋" w:cs="宋体"/>
          <w:color w:val="auto"/>
          <w:kern w:val="0"/>
          <w:sz w:val="28"/>
          <w:szCs w:val="28"/>
        </w:rPr>
        <w:t>.博士研究生学业奖学金分为三个等级：特等奖奖励标准为每生每年 18000 元，名额比例为参评人数的 20%；一等奖 14000 元，比例为 30%；二等奖 11000 元，比例为 50%。</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ascii="仿宋" w:hAnsi="仿宋" w:eastAsia="仿宋" w:cs="宋体"/>
          <w:color w:val="auto"/>
          <w:kern w:val="0"/>
          <w:sz w:val="28"/>
          <w:szCs w:val="28"/>
        </w:rPr>
        <w:t>.硕士研究生学业奖学金分为四个等级：特等奖奖励标准为每生每年 12000 元，名额比例为参评人数的 5%；一等奖 8000 元，比例为 15%；二等奖 6000 元，比例为 30%；三等奖 4000 元，比例为 50%。</w:t>
      </w:r>
    </w:p>
    <w:p>
      <w:pPr>
        <w:pStyle w:val="4"/>
        <w:spacing w:before="156" w:beforeLines="50" w:after="156" w:afterLines="50" w:line="240" w:lineRule="atLeast"/>
        <w:rPr>
          <w:color w:val="auto"/>
          <w:szCs w:val="28"/>
        </w:rPr>
      </w:pPr>
      <w:r>
        <w:rPr>
          <w:rFonts w:hint="eastAsia"/>
          <w:color w:val="auto"/>
          <w:szCs w:val="28"/>
        </w:rPr>
        <w:t>第四条 申报条件</w:t>
      </w:r>
    </w:p>
    <w:p>
      <w:pPr>
        <w:widowControl/>
        <w:shd w:val="clear" w:color="auto" w:fill="FFFFFF"/>
        <w:spacing w:before="156" w:beforeLines="50" w:after="156" w:afterLines="50" w:line="240" w:lineRule="atLeast"/>
        <w:ind w:firstLine="560" w:firstLineChars="200"/>
        <w:rPr>
          <w:rFonts w:ascii="仿宋_GB2312" w:hAnsi="宋体" w:eastAsia="仿宋_GB2312" w:cs="宋体"/>
          <w:color w:val="auto"/>
          <w:kern w:val="0"/>
          <w:sz w:val="28"/>
          <w:szCs w:val="28"/>
        </w:rPr>
      </w:pPr>
      <w:r>
        <w:rPr>
          <w:rFonts w:hint="eastAsia" w:ascii="仿宋" w:hAnsi="仿宋" w:eastAsia="仿宋" w:cs="宋体"/>
          <w:color w:val="auto"/>
          <w:kern w:val="0"/>
          <w:sz w:val="28"/>
          <w:szCs w:val="28"/>
        </w:rPr>
        <w:t>1．热爱社会主义祖国，拥护中国共产党的领导；积极参加学校、学部及培养单位（包括党组织、团组织）组织的政治理论学习，坚持和弘扬社会主义核心价值观；</w:t>
      </w:r>
    </w:p>
    <w:p>
      <w:pPr>
        <w:widowControl/>
        <w:shd w:val="clear" w:color="auto" w:fill="FFFFFF"/>
        <w:spacing w:before="156" w:beforeLines="50" w:after="156" w:afterLines="50" w:line="240" w:lineRule="atLeast"/>
        <w:ind w:firstLine="560" w:firstLineChars="200"/>
        <w:rPr>
          <w:rFonts w:ascii="仿宋_GB2312" w:hAnsi="宋体" w:eastAsia="仿宋_GB2312" w:cs="宋体"/>
          <w:color w:val="auto"/>
          <w:kern w:val="0"/>
          <w:sz w:val="28"/>
          <w:szCs w:val="28"/>
        </w:rPr>
      </w:pPr>
      <w:r>
        <w:rPr>
          <w:rFonts w:hint="eastAsia" w:ascii="仿宋" w:hAnsi="仿宋" w:eastAsia="仿宋" w:cs="宋体"/>
          <w:color w:val="auto"/>
          <w:kern w:val="0"/>
          <w:sz w:val="28"/>
          <w:szCs w:val="28"/>
        </w:rPr>
        <w:t>2．思想和政治素质好，遵守国家法律法规和学校、</w:t>
      </w:r>
      <w:r>
        <w:rPr>
          <w:rFonts w:hint="eastAsia" w:ascii="仿宋" w:hAnsi="仿宋" w:eastAsia="仿宋" w:cs="宋体"/>
          <w:color w:val="auto"/>
          <w:kern w:val="0"/>
          <w:sz w:val="28"/>
          <w:szCs w:val="28"/>
          <w:lang w:eastAsia="zh-CN"/>
        </w:rPr>
        <w:t>医学院</w:t>
      </w:r>
      <w:r>
        <w:rPr>
          <w:rFonts w:hint="eastAsia" w:ascii="仿宋" w:hAnsi="仿宋" w:eastAsia="仿宋" w:cs="宋体"/>
          <w:color w:val="auto"/>
          <w:kern w:val="0"/>
          <w:sz w:val="28"/>
          <w:szCs w:val="28"/>
        </w:rPr>
        <w:t>、学院各项规章制度，尊敬师长，团结同学，关心集体，诚实守信，品学兼优；</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3</w:t>
      </w:r>
      <w:r>
        <w:rPr>
          <w:rFonts w:hint="eastAsia" w:ascii="仿宋" w:hAnsi="仿宋" w:eastAsia="仿宋" w:cs="宋体"/>
          <w:color w:val="auto"/>
          <w:kern w:val="0"/>
          <w:sz w:val="28"/>
          <w:szCs w:val="28"/>
        </w:rPr>
        <w:t xml:space="preserve">．积极参与科学研究和社会实践活动。 </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有以下情形之一者，不具备当年研究生学业奖学金参评资格：</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1．违反国家法律、法令、法规者；</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2．人事档案未转入我校者；</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3．在学校规定时间内未完成学籍注册手续者；</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4．学籍状态处于休学、保留学籍者；</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5．超过基本学制年限延长学习期限者；</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6．在入学考试报名材料或奖学金申请材料中隐瞒事实或有虚假内容者；</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7．在研究生培养环节中考试未达到规定要求者；</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8．违反科学道德、发生学术不端行为者；</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9．各类考试作弊或违纪者，以及其他违反校纪校规受处分者；</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10.研究生科研实验记录抽检不合格者；</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11.根据《苏州医学院实验室安全管理奖惩办法（试行）》（苏大医[2019]3号）规定被取消评奖评优资格者；</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12.其他经学校认定不符合参评条件者。</w:t>
      </w:r>
    </w:p>
    <w:p>
      <w:pPr>
        <w:pStyle w:val="3"/>
        <w:spacing w:before="156" w:beforeLines="50" w:after="156" w:afterLines="50" w:line="240" w:lineRule="atLeast"/>
        <w:jc w:val="center"/>
        <w:rPr>
          <w:rFonts w:ascii="仿宋_GB2312" w:hAnsi="宋体" w:eastAsia="仿宋_GB2312"/>
          <w:color w:val="auto"/>
          <w:sz w:val="28"/>
          <w:szCs w:val="28"/>
        </w:rPr>
      </w:pPr>
      <w:r>
        <w:rPr>
          <w:rFonts w:hint="eastAsia"/>
          <w:color w:val="auto"/>
          <w:sz w:val="28"/>
          <w:szCs w:val="28"/>
        </w:rPr>
        <w:t>第三章 实施细则</w:t>
      </w:r>
    </w:p>
    <w:p>
      <w:pPr>
        <w:pStyle w:val="4"/>
        <w:spacing w:before="156" w:beforeLines="50" w:after="156" w:afterLines="50" w:line="240" w:lineRule="atLeast"/>
        <w:rPr>
          <w:color w:val="auto"/>
          <w:szCs w:val="28"/>
        </w:rPr>
      </w:pPr>
      <w:r>
        <w:rPr>
          <w:rFonts w:hint="eastAsia"/>
          <w:color w:val="auto"/>
          <w:szCs w:val="28"/>
        </w:rPr>
        <w:t>第五条 评审原则</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ascii="仿宋" w:hAnsi="仿宋" w:eastAsia="仿宋" w:cs="宋体"/>
          <w:color w:val="auto"/>
          <w:kern w:val="0"/>
          <w:sz w:val="28"/>
          <w:szCs w:val="28"/>
        </w:rPr>
        <w:t xml:space="preserve"> </w:t>
      </w:r>
      <w:r>
        <w:rPr>
          <w:rFonts w:hint="eastAsia" w:ascii="仿宋" w:hAnsi="仿宋" w:eastAsia="仿宋" w:cs="宋体"/>
          <w:color w:val="auto"/>
          <w:kern w:val="0"/>
          <w:sz w:val="28"/>
          <w:szCs w:val="28"/>
        </w:rPr>
        <w:t>研究生学业奖学金的评审工作，应遵循平等原则、回避原则、公正原则、保密原则，坚持公正、公平、公开、择优，严格执行相关文件规定，杜绝弄虚作假。</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ascii="仿宋" w:hAnsi="仿宋" w:eastAsia="仿宋" w:cs="宋体"/>
          <w:color w:val="auto"/>
          <w:kern w:val="0"/>
          <w:sz w:val="28"/>
          <w:szCs w:val="28"/>
        </w:rPr>
        <w:t xml:space="preserve">. </w:t>
      </w:r>
      <w:r>
        <w:rPr>
          <w:rFonts w:hint="eastAsia" w:ascii="仿宋" w:hAnsi="仿宋" w:eastAsia="仿宋" w:cs="宋体"/>
          <w:color w:val="auto"/>
          <w:kern w:val="0"/>
          <w:sz w:val="28"/>
          <w:szCs w:val="28"/>
        </w:rPr>
        <w:t>科学学位研究生与专业学位研究生，由于培养目标与培养要求的不同，在评审指标体系中应有所区别。科学学位研究生应注重科学研究，专业学位研究生应相对注重实践应用。</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3</w:t>
      </w:r>
      <w:r>
        <w:rPr>
          <w:rFonts w:hint="eastAsia" w:ascii="仿宋" w:hAnsi="仿宋" w:eastAsia="仿宋" w:cs="宋体"/>
          <w:color w:val="auto"/>
          <w:kern w:val="0"/>
          <w:sz w:val="28"/>
          <w:szCs w:val="28"/>
        </w:rPr>
        <w:t>. 研究生学业奖学金每学年评定一次，实行动态管理。在同一学年中，研究生学业奖学金不能与国家奖学金兼得，但可与其他研究生奖助学金兼得。学业奖学金按照本单位研究生人数，原则上实行足额分配。</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4</w:t>
      </w:r>
      <w:r>
        <w:rPr>
          <w:rFonts w:hint="eastAsia" w:ascii="仿宋" w:hAnsi="仿宋" w:eastAsia="仿宋" w:cs="宋体"/>
          <w:color w:val="auto"/>
          <w:kern w:val="0"/>
          <w:sz w:val="28"/>
          <w:szCs w:val="28"/>
        </w:rPr>
        <w:t>.</w:t>
      </w:r>
      <w:r>
        <w:rPr>
          <w:rFonts w:ascii="仿宋" w:hAnsi="仿宋" w:eastAsia="仿宋" w:cs="宋体"/>
          <w:color w:val="auto"/>
          <w:kern w:val="0"/>
          <w:sz w:val="28"/>
          <w:szCs w:val="28"/>
        </w:rPr>
        <w:t xml:space="preserve"> </w:t>
      </w:r>
      <w:r>
        <w:rPr>
          <w:rFonts w:hint="eastAsia" w:ascii="仿宋" w:hAnsi="仿宋" w:eastAsia="仿宋" w:cs="宋体"/>
          <w:color w:val="auto"/>
          <w:kern w:val="0"/>
          <w:sz w:val="28"/>
          <w:szCs w:val="28"/>
        </w:rPr>
        <w:t>奖学金评定所涉及各项得分，各班级负责人核算完成后须在本班级公示，规定时间内无异议，提交学院拟定获奖名单。</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 xml:space="preserve">5. </w:t>
      </w:r>
      <w:r>
        <w:rPr>
          <w:rFonts w:hint="eastAsia" w:ascii="仿宋" w:hAnsi="仿宋" w:eastAsia="仿宋" w:cs="宋体"/>
          <w:color w:val="auto"/>
          <w:kern w:val="0"/>
          <w:sz w:val="28"/>
          <w:szCs w:val="28"/>
        </w:rPr>
        <w:t>研究生学业奖学金评审委员会确定本学院获奖学生名单后，须在学院官网或其他途径进行公示，公示无异议后，提交上一级奖学金评审领导小组审定。</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6</w:t>
      </w:r>
      <w:r>
        <w:rPr>
          <w:rFonts w:hint="eastAsia" w:ascii="仿宋" w:hAnsi="仿宋" w:eastAsia="仿宋" w:cs="宋体"/>
          <w:color w:val="auto"/>
          <w:kern w:val="0"/>
          <w:sz w:val="28"/>
          <w:szCs w:val="28"/>
        </w:rPr>
        <w:t>.奖学金主要用于学生本人学习和日常生活的各类正常开支。严禁铺张浪费，不得用于请客、抽烟、酗酒等不当途径，一经查实，将予记录在案，作为以后评选审核的依据。</w:t>
      </w:r>
    </w:p>
    <w:p>
      <w:pPr>
        <w:pStyle w:val="4"/>
        <w:spacing w:before="156" w:beforeLines="50" w:after="156" w:afterLines="50" w:line="240" w:lineRule="atLeast"/>
        <w:rPr>
          <w:color w:val="auto"/>
          <w:szCs w:val="28"/>
        </w:rPr>
      </w:pPr>
      <w:r>
        <w:rPr>
          <w:rFonts w:hint="eastAsia"/>
          <w:color w:val="auto"/>
          <w:szCs w:val="28"/>
        </w:rPr>
        <w:t>第六条 评审程序</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ascii="仿宋" w:hAnsi="仿宋" w:eastAsia="仿宋" w:cs="宋体"/>
          <w:color w:val="auto"/>
          <w:kern w:val="0"/>
          <w:sz w:val="28"/>
          <w:szCs w:val="28"/>
        </w:rPr>
        <w:t xml:space="preserve">. </w:t>
      </w:r>
      <w:r>
        <w:rPr>
          <w:rFonts w:hint="eastAsia" w:ascii="仿宋" w:hAnsi="仿宋" w:eastAsia="仿宋" w:cs="宋体"/>
          <w:color w:val="auto"/>
          <w:kern w:val="0"/>
          <w:sz w:val="28"/>
          <w:szCs w:val="28"/>
        </w:rPr>
        <w:t>学院成立“研究生学业奖学金评审委员会”，由学院主要领导、研究生导师代表、研究生管理人员代表和研究生代表组成；负责本单位研究生学业奖学金的细则制定、申请组织、初评、报审和复议等工作；</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 xml:space="preserve"> 符合申报条件的研究生均可申报，填写相关表格并提供相应证明材料，交所在年级负责人；</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w:t>
      </w:r>
      <w:r>
        <w:rPr>
          <w:rFonts w:ascii="仿宋" w:hAnsi="仿宋" w:eastAsia="仿宋" w:cs="宋体"/>
          <w:color w:val="auto"/>
          <w:kern w:val="0"/>
          <w:sz w:val="28"/>
          <w:szCs w:val="28"/>
        </w:rPr>
        <w:t>.</w:t>
      </w:r>
      <w:r>
        <w:rPr>
          <w:rFonts w:hint="eastAsia" w:ascii="宋体" w:hAnsi="宋体" w:cs="宋体"/>
          <w:color w:val="auto"/>
          <w:kern w:val="0"/>
          <w:sz w:val="28"/>
          <w:szCs w:val="28"/>
        </w:rPr>
        <w:t xml:space="preserve"> </w:t>
      </w:r>
      <w:r>
        <w:rPr>
          <w:rFonts w:hint="eastAsia" w:ascii="仿宋" w:hAnsi="仿宋" w:eastAsia="仿宋" w:cs="宋体"/>
          <w:color w:val="auto"/>
          <w:kern w:val="0"/>
          <w:sz w:val="28"/>
          <w:szCs w:val="28"/>
        </w:rPr>
        <w:t>学院对申报材料进行认真审核，对申报人的学习成绩、科研成果、获奖情况、社会服务等进行核定、排名；</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ascii="仿宋" w:hAnsi="仿宋" w:eastAsia="仿宋" w:cs="宋体"/>
          <w:color w:val="auto"/>
          <w:kern w:val="0"/>
          <w:sz w:val="28"/>
          <w:szCs w:val="28"/>
        </w:rPr>
        <w:t>.</w:t>
      </w:r>
      <w:r>
        <w:rPr>
          <w:rFonts w:hint="eastAsia"/>
          <w:color w:val="auto"/>
          <w:sz w:val="28"/>
          <w:szCs w:val="28"/>
        </w:rPr>
        <w:t xml:space="preserve"> </w:t>
      </w:r>
      <w:r>
        <w:rPr>
          <w:rFonts w:hint="eastAsia" w:ascii="仿宋" w:hAnsi="仿宋" w:eastAsia="仿宋" w:cs="宋体"/>
          <w:color w:val="auto"/>
          <w:kern w:val="0"/>
          <w:sz w:val="28"/>
          <w:szCs w:val="28"/>
        </w:rPr>
        <w:t>学院研究生学业奖学金评审委员会对本学院申报材料进行评审，确定本学院拟获奖学生名单，并在学院内进行不少于</w:t>
      </w:r>
      <w:r>
        <w:rPr>
          <w:rFonts w:ascii="仿宋" w:hAnsi="仿宋" w:eastAsia="仿宋" w:cs="宋体"/>
          <w:color w:val="auto"/>
          <w:kern w:val="0"/>
          <w:sz w:val="28"/>
          <w:szCs w:val="28"/>
        </w:rPr>
        <w:t>5个工作日的公示。公示无异议后，提交学校研究生</w:t>
      </w:r>
      <w:r>
        <w:rPr>
          <w:rFonts w:hint="eastAsia" w:ascii="仿宋" w:hAnsi="仿宋" w:eastAsia="仿宋" w:cs="宋体"/>
          <w:color w:val="auto"/>
          <w:kern w:val="0"/>
          <w:sz w:val="28"/>
          <w:szCs w:val="28"/>
        </w:rPr>
        <w:t>奖助学金工作</w:t>
      </w:r>
      <w:r>
        <w:rPr>
          <w:rFonts w:ascii="仿宋" w:hAnsi="仿宋" w:eastAsia="仿宋" w:cs="宋体"/>
          <w:color w:val="auto"/>
          <w:kern w:val="0"/>
          <w:sz w:val="28"/>
          <w:szCs w:val="28"/>
        </w:rPr>
        <w:t>领导小组</w:t>
      </w:r>
      <w:r>
        <w:rPr>
          <w:rFonts w:hint="eastAsia" w:ascii="仿宋" w:hAnsi="仿宋" w:eastAsia="仿宋" w:cs="宋体"/>
          <w:color w:val="auto"/>
          <w:kern w:val="0"/>
          <w:sz w:val="28"/>
          <w:szCs w:val="28"/>
        </w:rPr>
        <w:t>；</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 xml:space="preserve">5. </w:t>
      </w:r>
      <w:r>
        <w:rPr>
          <w:rFonts w:hint="eastAsia" w:ascii="仿宋" w:hAnsi="仿宋" w:eastAsia="仿宋" w:cs="宋体"/>
          <w:color w:val="auto"/>
          <w:kern w:val="0"/>
          <w:sz w:val="28"/>
          <w:szCs w:val="28"/>
        </w:rPr>
        <w:t>学院根据学校研究生学业奖学金评定结果，将研究生获得学业奖学金情况记入学生学籍档案。</w:t>
      </w:r>
    </w:p>
    <w:p>
      <w:pPr>
        <w:pStyle w:val="4"/>
        <w:spacing w:before="156" w:beforeLines="50" w:after="156" w:afterLines="50" w:line="240" w:lineRule="atLeast"/>
        <w:rPr>
          <w:color w:val="auto"/>
          <w:szCs w:val="28"/>
        </w:rPr>
      </w:pPr>
      <w:r>
        <w:rPr>
          <w:rFonts w:hint="eastAsia"/>
          <w:color w:val="auto"/>
          <w:szCs w:val="28"/>
        </w:rPr>
        <w:t>第七条</w:t>
      </w:r>
      <w:r>
        <w:rPr>
          <w:color w:val="auto"/>
          <w:szCs w:val="28"/>
        </w:rPr>
        <w:t xml:space="preserve"> </w:t>
      </w:r>
      <w:r>
        <w:rPr>
          <w:rFonts w:hint="eastAsia"/>
          <w:color w:val="auto"/>
          <w:szCs w:val="28"/>
        </w:rPr>
        <w:t>综合测评分计算办法</w:t>
      </w:r>
    </w:p>
    <w:p>
      <w:pPr>
        <w:pStyle w:val="22"/>
        <w:widowControl/>
        <w:numPr>
          <w:ilvl w:val="0"/>
          <w:numId w:val="1"/>
        </w:numPr>
        <w:shd w:val="clear" w:color="auto" w:fill="FFFFFF"/>
        <w:spacing w:before="156" w:beforeLines="50" w:after="156" w:afterLines="50" w:line="240" w:lineRule="atLeast"/>
        <w:ind w:firstLineChars="0"/>
        <w:rPr>
          <w:rFonts w:ascii="仿宋" w:hAnsi="仿宋" w:eastAsia="仿宋" w:cs="宋体"/>
          <w:color w:val="auto"/>
          <w:kern w:val="0"/>
          <w:sz w:val="28"/>
          <w:szCs w:val="28"/>
        </w:rPr>
      </w:pPr>
      <w:r>
        <w:rPr>
          <w:rFonts w:hint="eastAsia" w:ascii="仿宋" w:hAnsi="仿宋" w:eastAsia="仿宋" w:cs="宋体"/>
          <w:color w:val="auto"/>
          <w:kern w:val="0"/>
          <w:sz w:val="28"/>
          <w:szCs w:val="28"/>
        </w:rPr>
        <w:t>研究生一年级：</w:t>
      </w:r>
    </w:p>
    <w:p>
      <w:pPr>
        <w:widowControl/>
        <w:shd w:val="clear" w:color="auto" w:fill="FFFFFF"/>
        <w:spacing w:before="156" w:beforeLines="50" w:after="156" w:afterLines="50" w:line="240" w:lineRule="atLeas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1</w:t>
      </w:r>
      <w:r>
        <w:rPr>
          <w:rFonts w:ascii="仿宋" w:hAnsi="仿宋" w:eastAsia="仿宋"/>
          <w:color w:val="auto"/>
          <w:sz w:val="28"/>
          <w:szCs w:val="28"/>
        </w:rPr>
        <w:t>.</w:t>
      </w:r>
      <w:r>
        <w:rPr>
          <w:rFonts w:hint="eastAsia" w:ascii="仿宋" w:hAnsi="仿宋" w:eastAsia="仿宋"/>
          <w:color w:val="auto"/>
          <w:sz w:val="28"/>
          <w:szCs w:val="28"/>
        </w:rPr>
        <w:t>硕士研究生一年级学生的学业奖学金主要依据报考情况和入学考试综合成绩进行评定，名额分配由全院统筹</w:t>
      </w:r>
      <w:r>
        <w:rPr>
          <w:rFonts w:hint="eastAsia" w:ascii="仿宋" w:hAnsi="仿宋" w:eastAsia="仿宋"/>
          <w:color w:val="auto"/>
          <w:sz w:val="28"/>
          <w:szCs w:val="28"/>
          <w:lang w:eastAsia="zh-CN"/>
        </w:rPr>
        <w:t>，</w:t>
      </w:r>
      <w:r>
        <w:rPr>
          <w:rFonts w:ascii="仿宋" w:hAnsi="仿宋" w:eastAsia="仿宋"/>
          <w:color w:val="auto"/>
          <w:sz w:val="28"/>
          <w:szCs w:val="28"/>
        </w:rPr>
        <w:t>第一志愿和调剂学生分开评比</w:t>
      </w:r>
      <w:r>
        <w:rPr>
          <w:rFonts w:hint="eastAsia" w:ascii="仿宋" w:hAnsi="仿宋" w:eastAsia="仿宋"/>
          <w:color w:val="auto"/>
          <w:sz w:val="28"/>
          <w:szCs w:val="28"/>
          <w:lang w:eastAsia="zh-CN"/>
        </w:rPr>
        <w:t>。</w:t>
      </w:r>
    </w:p>
    <w:p>
      <w:pPr>
        <w:widowControl/>
        <w:shd w:val="clear" w:color="auto" w:fill="FFFFFF"/>
        <w:spacing w:before="156" w:beforeLines="50" w:after="156" w:afterLines="50" w:line="240" w:lineRule="atLeast"/>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第一志愿</w:t>
      </w:r>
      <w:r>
        <w:rPr>
          <w:rFonts w:hint="eastAsia" w:ascii="仿宋" w:hAnsi="仿宋" w:eastAsia="仿宋"/>
          <w:color w:val="auto"/>
          <w:sz w:val="28"/>
          <w:szCs w:val="28"/>
        </w:rPr>
        <w:t>综合测评分</w:t>
      </w:r>
      <w:r>
        <w:rPr>
          <w:rFonts w:ascii="仿宋" w:hAnsi="仿宋" w:eastAsia="仿宋"/>
          <w:color w:val="auto"/>
          <w:sz w:val="28"/>
          <w:szCs w:val="28"/>
        </w:rPr>
        <w:t xml:space="preserve"> =</w:t>
      </w:r>
      <w:r>
        <w:rPr>
          <w:rFonts w:hint="eastAsia" w:ascii="仿宋" w:hAnsi="仿宋" w:eastAsia="仿宋"/>
          <w:color w:val="auto"/>
          <w:sz w:val="28"/>
          <w:szCs w:val="28"/>
          <w:lang w:eastAsia="zh-CN"/>
        </w:rPr>
        <w:t>（政治</w:t>
      </w:r>
      <w:r>
        <w:rPr>
          <w:rFonts w:hint="eastAsia" w:ascii="仿宋" w:hAnsi="仿宋" w:eastAsia="仿宋"/>
          <w:color w:val="auto"/>
          <w:sz w:val="28"/>
          <w:szCs w:val="28"/>
          <w:lang w:val="en-US" w:eastAsia="zh-CN"/>
        </w:rPr>
        <w:t>+业务课</w:t>
      </w:r>
      <w:r>
        <w:rPr>
          <w:rFonts w:hint="eastAsia" w:ascii="仿宋" w:hAnsi="仿宋" w:eastAsia="仿宋"/>
          <w:color w:val="auto"/>
          <w:sz w:val="28"/>
          <w:szCs w:val="28"/>
          <w:lang w:eastAsia="zh-CN"/>
        </w:rPr>
        <w:t>）</w:t>
      </w:r>
      <w:r>
        <w:rPr>
          <w:rFonts w:ascii="仿宋" w:hAnsi="仿宋" w:eastAsia="仿宋" w:cs="宋体"/>
          <w:color w:val="auto"/>
          <w:kern w:val="0"/>
          <w:sz w:val="28"/>
          <w:szCs w:val="28"/>
        </w:rPr>
        <w:t>×</w:t>
      </w:r>
      <w:r>
        <w:rPr>
          <w:rFonts w:hint="eastAsia" w:ascii="仿宋" w:hAnsi="仿宋" w:eastAsia="仿宋"/>
          <w:color w:val="auto"/>
          <w:sz w:val="28"/>
          <w:szCs w:val="28"/>
          <w:lang w:val="en-US" w:eastAsia="zh-CN"/>
        </w:rPr>
        <w:t>35%+英语</w:t>
      </w:r>
      <w:r>
        <w:rPr>
          <w:rFonts w:ascii="仿宋" w:hAnsi="仿宋" w:eastAsia="仿宋" w:cs="宋体"/>
          <w:color w:val="auto"/>
          <w:kern w:val="0"/>
          <w:sz w:val="28"/>
          <w:szCs w:val="28"/>
        </w:rPr>
        <w:t>×</w:t>
      </w:r>
      <w:r>
        <w:rPr>
          <w:rFonts w:hint="eastAsia" w:ascii="仿宋" w:hAnsi="仿宋" w:eastAsia="仿宋"/>
          <w:color w:val="auto"/>
          <w:sz w:val="28"/>
          <w:szCs w:val="28"/>
          <w:lang w:val="en-US" w:eastAsia="zh-CN"/>
        </w:rPr>
        <w:t>45%+复试成绩</w:t>
      </w:r>
      <w:r>
        <w:rPr>
          <w:rFonts w:ascii="仿宋" w:hAnsi="仿宋" w:eastAsia="仿宋" w:cs="宋体"/>
          <w:color w:val="auto"/>
          <w:kern w:val="0"/>
          <w:sz w:val="28"/>
          <w:szCs w:val="28"/>
        </w:rPr>
        <w:t>×</w:t>
      </w:r>
      <w:r>
        <w:rPr>
          <w:rFonts w:hint="eastAsia" w:ascii="仿宋" w:hAnsi="仿宋" w:eastAsia="仿宋"/>
          <w:color w:val="auto"/>
          <w:sz w:val="28"/>
          <w:szCs w:val="28"/>
          <w:lang w:val="en-US" w:eastAsia="zh-CN"/>
        </w:rPr>
        <w:t>20%</w:t>
      </w:r>
      <w:r>
        <w:rPr>
          <w:rFonts w:ascii="仿宋" w:hAnsi="仿宋" w:eastAsia="仿宋"/>
          <w:color w:val="auto"/>
          <w:sz w:val="28"/>
          <w:szCs w:val="28"/>
        </w:rPr>
        <w:t>(</w:t>
      </w:r>
      <w:r>
        <w:rPr>
          <w:rFonts w:hint="eastAsia" w:ascii="仿宋" w:hAnsi="仿宋" w:eastAsia="仿宋"/>
          <w:color w:val="auto"/>
          <w:sz w:val="28"/>
          <w:szCs w:val="28"/>
        </w:rPr>
        <w:t>根据实际情况进行</w:t>
      </w:r>
      <w:r>
        <w:rPr>
          <w:rFonts w:ascii="仿宋" w:hAnsi="仿宋" w:eastAsia="仿宋"/>
          <w:color w:val="auto"/>
          <w:sz w:val="28"/>
          <w:szCs w:val="28"/>
        </w:rPr>
        <w:t>组间差异校正)。</w:t>
      </w:r>
    </w:p>
    <w:p>
      <w:pPr>
        <w:widowControl/>
        <w:shd w:val="clear" w:color="auto" w:fill="FFFFFF"/>
        <w:spacing w:before="156" w:beforeLines="50" w:after="156" w:afterLines="50" w:line="240" w:lineRule="atLeast"/>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调剂学生综合测评分=政治</w:t>
      </w:r>
      <w:r>
        <w:rPr>
          <w:rFonts w:ascii="仿宋" w:hAnsi="仿宋" w:eastAsia="仿宋" w:cs="宋体"/>
          <w:color w:val="auto"/>
          <w:kern w:val="0"/>
          <w:sz w:val="28"/>
          <w:szCs w:val="28"/>
        </w:rPr>
        <w:t>×</w:t>
      </w:r>
      <w:r>
        <w:rPr>
          <w:rFonts w:hint="eastAsia" w:ascii="仿宋" w:hAnsi="仿宋" w:eastAsia="仿宋"/>
          <w:color w:val="auto"/>
          <w:sz w:val="28"/>
          <w:szCs w:val="28"/>
          <w:lang w:val="en-US" w:eastAsia="zh-CN"/>
        </w:rPr>
        <w:t>35%+英语</w:t>
      </w:r>
      <w:r>
        <w:rPr>
          <w:rFonts w:ascii="仿宋" w:hAnsi="仿宋" w:eastAsia="仿宋" w:cs="宋体"/>
          <w:color w:val="auto"/>
          <w:kern w:val="0"/>
          <w:sz w:val="28"/>
          <w:szCs w:val="28"/>
        </w:rPr>
        <w:t>×</w:t>
      </w:r>
      <w:r>
        <w:rPr>
          <w:rFonts w:hint="eastAsia" w:ascii="仿宋" w:hAnsi="仿宋" w:eastAsia="仿宋"/>
          <w:color w:val="auto"/>
          <w:sz w:val="28"/>
          <w:szCs w:val="28"/>
          <w:lang w:val="en-US" w:eastAsia="zh-CN"/>
        </w:rPr>
        <w:t>45%+复试成绩</w:t>
      </w:r>
      <w:r>
        <w:rPr>
          <w:rFonts w:ascii="仿宋" w:hAnsi="仿宋" w:eastAsia="仿宋" w:cs="宋体"/>
          <w:color w:val="auto"/>
          <w:kern w:val="0"/>
          <w:sz w:val="28"/>
          <w:szCs w:val="28"/>
        </w:rPr>
        <w:t>×</w:t>
      </w:r>
      <w:r>
        <w:rPr>
          <w:rFonts w:hint="eastAsia" w:ascii="仿宋" w:hAnsi="仿宋" w:eastAsia="仿宋"/>
          <w:color w:val="auto"/>
          <w:sz w:val="28"/>
          <w:szCs w:val="28"/>
          <w:lang w:val="en-US" w:eastAsia="zh-CN"/>
        </w:rPr>
        <w:t>20%</w:t>
      </w:r>
      <w:r>
        <w:rPr>
          <w:rFonts w:ascii="仿宋" w:hAnsi="仿宋" w:eastAsia="仿宋"/>
          <w:color w:val="auto"/>
          <w:sz w:val="28"/>
          <w:szCs w:val="28"/>
        </w:rPr>
        <w:t>(</w:t>
      </w:r>
      <w:r>
        <w:rPr>
          <w:rFonts w:hint="eastAsia" w:ascii="仿宋" w:hAnsi="仿宋" w:eastAsia="仿宋"/>
          <w:color w:val="auto"/>
          <w:sz w:val="28"/>
          <w:szCs w:val="28"/>
        </w:rPr>
        <w:t>根据实际情况进行</w:t>
      </w:r>
      <w:r>
        <w:rPr>
          <w:rFonts w:ascii="仿宋" w:hAnsi="仿宋" w:eastAsia="仿宋"/>
          <w:color w:val="auto"/>
          <w:sz w:val="28"/>
          <w:szCs w:val="28"/>
        </w:rPr>
        <w:t>组间差异校正)</w:t>
      </w:r>
    </w:p>
    <w:p>
      <w:pPr>
        <w:widowControl/>
        <w:shd w:val="clear" w:color="auto" w:fill="FFFFFF"/>
        <w:spacing w:before="156" w:beforeLines="50" w:after="156" w:afterLines="50" w:line="240" w:lineRule="atLeast"/>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注：非百分制课程使用归化成绩（课程成绩/满分</w:t>
      </w:r>
      <w:r>
        <w:rPr>
          <w:rFonts w:ascii="仿宋" w:hAnsi="仿宋" w:eastAsia="仿宋" w:cs="宋体"/>
          <w:color w:val="auto"/>
          <w:kern w:val="0"/>
          <w:sz w:val="28"/>
          <w:szCs w:val="28"/>
        </w:rPr>
        <w:t>×</w:t>
      </w:r>
      <w:r>
        <w:rPr>
          <w:rFonts w:hint="eastAsia" w:ascii="仿宋" w:hAnsi="仿宋" w:eastAsia="仿宋" w:cs="宋体"/>
          <w:color w:val="auto"/>
          <w:kern w:val="0"/>
          <w:sz w:val="28"/>
          <w:szCs w:val="28"/>
          <w:lang w:val="en-US" w:eastAsia="zh-CN"/>
        </w:rPr>
        <w:t>100</w:t>
      </w:r>
      <w:r>
        <w:rPr>
          <w:rFonts w:hint="eastAsia" w:ascii="仿宋" w:hAnsi="仿宋" w:eastAsia="仿宋"/>
          <w:color w:val="auto"/>
          <w:sz w:val="28"/>
          <w:szCs w:val="28"/>
          <w:lang w:val="en-US" w:eastAsia="zh-CN"/>
        </w:rPr>
        <w:t>）</w:t>
      </w:r>
    </w:p>
    <w:p>
      <w:pPr>
        <w:widowControl/>
        <w:shd w:val="clear" w:color="auto" w:fill="FFFFFF"/>
        <w:spacing w:before="156" w:beforeLines="50" w:after="156" w:afterLines="50" w:line="240" w:lineRule="atLeast"/>
        <w:ind w:firstLine="560" w:firstLineChars="200"/>
        <w:rPr>
          <w:rFonts w:ascii="仿宋" w:hAnsi="仿宋" w:eastAsia="仿宋"/>
          <w:color w:val="auto"/>
          <w:sz w:val="28"/>
          <w:szCs w:val="28"/>
        </w:rPr>
      </w:pPr>
      <w:r>
        <w:rPr>
          <w:rFonts w:hint="eastAsia" w:ascii="仿宋" w:hAnsi="仿宋" w:eastAsia="仿宋"/>
          <w:color w:val="auto"/>
          <w:sz w:val="28"/>
          <w:szCs w:val="28"/>
        </w:rPr>
        <w:t>硕士推免生、高水平大学入学</w:t>
      </w:r>
      <w:r>
        <w:rPr>
          <w:rFonts w:hint="eastAsia" w:ascii="仿宋" w:hAnsi="仿宋" w:eastAsia="仿宋"/>
          <w:color w:val="auto"/>
          <w:sz w:val="28"/>
          <w:szCs w:val="28"/>
          <w:lang w:eastAsia="zh-CN"/>
        </w:rPr>
        <w:t>（双一流建设高校</w:t>
      </w:r>
      <w:r>
        <w:rPr>
          <w:rFonts w:hint="eastAsia" w:ascii="仿宋" w:hAnsi="仿宋" w:eastAsia="仿宋"/>
          <w:color w:val="auto"/>
          <w:sz w:val="28"/>
          <w:szCs w:val="28"/>
          <w:lang w:val="en-US" w:eastAsia="zh-CN"/>
        </w:rPr>
        <w:t>A类36所</w:t>
      </w:r>
      <w:r>
        <w:rPr>
          <w:rFonts w:hint="eastAsia" w:ascii="仿宋" w:hAnsi="仿宋" w:eastAsia="仿宋"/>
          <w:color w:val="auto"/>
          <w:sz w:val="28"/>
          <w:szCs w:val="28"/>
          <w:lang w:eastAsia="zh-CN"/>
        </w:rPr>
        <w:t>）</w:t>
      </w:r>
      <w:r>
        <w:rPr>
          <w:rFonts w:hint="eastAsia" w:ascii="仿宋" w:hAnsi="仿宋" w:eastAsia="仿宋"/>
          <w:color w:val="auto"/>
          <w:sz w:val="28"/>
          <w:szCs w:val="28"/>
        </w:rPr>
        <w:t>学生通过现场答辩，根据评委评分高低获得二等或以上等级学业奖学金（如学校通知要求有变化，以学校通知为准）。答辩细则见《苏州大学苏州医学院公共卫生学院评奖评优评委评议管理细则》。</w:t>
      </w:r>
    </w:p>
    <w:p>
      <w:pPr>
        <w:widowControl/>
        <w:shd w:val="clear" w:color="auto" w:fill="FFFFFF"/>
        <w:spacing w:before="156" w:beforeLines="50" w:after="156" w:afterLines="50" w:line="240" w:lineRule="atLeast"/>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 xml:space="preserve"> 博士研究生一年级学生的学业奖学金在年级名额分配中按学生比例足额分配，依据不同来源的学生入学成绩或考核情况等进行评定。主要操作为学生通过现场答辩，评委评分高低依次获得不同等级学业奖学金。答辩细则见《苏州大学苏州医学院公共卫生学院评奖评优评委评议管理细则》。</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（二）研究生二、三年级：</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研究生二、三年级学生的学业奖学金主要依据其上一学年的思想品德、学业成绩、科研成果、社会服务、表彰奖励等因素综合评定。</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综合测评分</w:t>
      </w:r>
      <w:r>
        <w:rPr>
          <w:rFonts w:ascii="仿宋" w:hAnsi="仿宋" w:eastAsia="仿宋" w:cs="宋体"/>
          <w:color w:val="auto"/>
          <w:kern w:val="0"/>
          <w:sz w:val="28"/>
          <w:szCs w:val="28"/>
        </w:rPr>
        <w:t xml:space="preserve"> = </w:t>
      </w:r>
      <w:r>
        <w:rPr>
          <w:rFonts w:hint="eastAsia" w:ascii="仿宋" w:hAnsi="仿宋" w:eastAsia="仿宋" w:cs="宋体"/>
          <w:color w:val="auto"/>
          <w:kern w:val="0"/>
          <w:sz w:val="28"/>
          <w:szCs w:val="28"/>
        </w:rPr>
        <w:t>学习成绩×</w:t>
      </w:r>
      <w:r>
        <w:rPr>
          <w:rFonts w:ascii="仿宋" w:hAnsi="仿宋" w:eastAsia="仿宋" w:cs="宋体"/>
          <w:color w:val="auto"/>
          <w:kern w:val="0"/>
          <w:sz w:val="28"/>
          <w:szCs w:val="28"/>
        </w:rPr>
        <w:t xml:space="preserve">10% + </w:t>
      </w:r>
      <w:r>
        <w:rPr>
          <w:rFonts w:hint="eastAsia" w:ascii="仿宋" w:hAnsi="仿宋" w:eastAsia="仿宋" w:cs="宋体"/>
          <w:color w:val="auto"/>
          <w:kern w:val="0"/>
          <w:sz w:val="28"/>
          <w:szCs w:val="28"/>
        </w:rPr>
        <w:t>学术与科研活动成绩×</w:t>
      </w:r>
      <w:r>
        <w:rPr>
          <w:rFonts w:ascii="仿宋" w:hAnsi="仿宋" w:eastAsia="仿宋" w:cs="宋体"/>
          <w:color w:val="auto"/>
          <w:kern w:val="0"/>
          <w:sz w:val="28"/>
          <w:szCs w:val="28"/>
        </w:rPr>
        <w:t xml:space="preserve">40% + </w:t>
      </w:r>
      <w:r>
        <w:rPr>
          <w:rFonts w:hint="eastAsia" w:ascii="仿宋" w:hAnsi="仿宋" w:eastAsia="仿宋" w:cs="宋体"/>
          <w:color w:val="auto"/>
          <w:kern w:val="0"/>
          <w:sz w:val="28"/>
          <w:szCs w:val="28"/>
        </w:rPr>
        <w:t>社会活动成绩×</w:t>
      </w:r>
      <w:r>
        <w:rPr>
          <w:rFonts w:ascii="仿宋" w:hAnsi="仿宋" w:eastAsia="仿宋" w:cs="宋体"/>
          <w:color w:val="auto"/>
          <w:kern w:val="0"/>
          <w:sz w:val="28"/>
          <w:szCs w:val="28"/>
        </w:rPr>
        <w:t xml:space="preserve">10% </w:t>
      </w:r>
      <w:r>
        <w:rPr>
          <w:rFonts w:hint="eastAsia" w:ascii="仿宋" w:hAnsi="仿宋" w:eastAsia="仿宋" w:cs="宋体"/>
          <w:color w:val="auto"/>
          <w:kern w:val="0"/>
          <w:sz w:val="28"/>
          <w:szCs w:val="28"/>
        </w:rPr>
        <w:t>+评委打分×4</w:t>
      </w:r>
      <w:r>
        <w:rPr>
          <w:rFonts w:ascii="仿宋" w:hAnsi="仿宋" w:eastAsia="仿宋" w:cs="宋体"/>
          <w:color w:val="auto"/>
          <w:kern w:val="0"/>
          <w:sz w:val="28"/>
          <w:szCs w:val="28"/>
        </w:rPr>
        <w:t>0</w:t>
      </w:r>
      <w:r>
        <w:rPr>
          <w:rFonts w:hint="eastAsia" w:ascii="仿宋" w:hAnsi="仿宋" w:eastAsia="仿宋" w:cs="宋体"/>
          <w:color w:val="auto"/>
          <w:kern w:val="0"/>
          <w:sz w:val="28"/>
          <w:szCs w:val="28"/>
        </w:rPr>
        <w:t>%</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 xml:space="preserve">1. </w:t>
      </w:r>
      <w:r>
        <w:rPr>
          <w:rFonts w:hint="eastAsia" w:ascii="仿宋" w:hAnsi="仿宋" w:eastAsia="仿宋" w:cs="宋体"/>
          <w:color w:val="auto"/>
          <w:kern w:val="0"/>
          <w:sz w:val="28"/>
          <w:szCs w:val="28"/>
        </w:rPr>
        <w:t>学习成绩</w:t>
      </w:r>
    </w:p>
    <w:p>
      <w:pPr>
        <w:widowControl/>
        <w:shd w:val="clear" w:color="auto" w:fill="FFFFFF"/>
        <w:spacing w:before="156" w:beforeLines="50" w:after="156" w:afterLines="50" w:line="240" w:lineRule="atLeas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学习成绩</w:t>
      </w:r>
      <w:r>
        <w:rPr>
          <w:rFonts w:ascii="仿宋" w:hAnsi="仿宋" w:eastAsia="仿宋" w:cs="宋体"/>
          <w:color w:val="auto"/>
          <w:kern w:val="0"/>
          <w:sz w:val="28"/>
          <w:szCs w:val="28"/>
        </w:rPr>
        <w:t>=(课程</w:t>
      </w:r>
      <w:r>
        <w:rPr>
          <w:rFonts w:hint="eastAsia" w:ascii="仿宋" w:hAnsi="仿宋" w:eastAsia="仿宋" w:cs="宋体"/>
          <w:color w:val="auto"/>
          <w:kern w:val="0"/>
          <w:sz w:val="28"/>
          <w:szCs w:val="28"/>
        </w:rPr>
        <w:t>1</w:t>
      </w:r>
      <w:r>
        <w:rPr>
          <w:rFonts w:ascii="仿宋" w:hAnsi="仿宋" w:eastAsia="仿宋" w:cs="宋体"/>
          <w:color w:val="auto"/>
          <w:kern w:val="0"/>
          <w:sz w:val="28"/>
          <w:szCs w:val="28"/>
        </w:rPr>
        <w:t>成绩×</w:t>
      </w:r>
      <w:r>
        <w:rPr>
          <w:rFonts w:hint="eastAsia" w:ascii="仿宋" w:hAnsi="仿宋" w:eastAsia="仿宋" w:cs="宋体"/>
          <w:color w:val="auto"/>
          <w:kern w:val="0"/>
          <w:sz w:val="28"/>
          <w:szCs w:val="28"/>
          <w:lang w:val="en-US" w:eastAsia="zh-CN"/>
        </w:rPr>
        <w:t>学分1</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课程2成绩</w:t>
      </w:r>
      <w:r>
        <w:rPr>
          <w:rFonts w:ascii="仿宋" w:hAnsi="仿宋" w:eastAsia="仿宋" w:cs="宋体"/>
          <w:color w:val="auto"/>
          <w:kern w:val="0"/>
          <w:sz w:val="28"/>
          <w:szCs w:val="28"/>
        </w:rPr>
        <w:t>×</w:t>
      </w:r>
      <w:r>
        <w:rPr>
          <w:rFonts w:hint="eastAsia" w:ascii="仿宋" w:hAnsi="仿宋" w:eastAsia="仿宋" w:cs="宋体"/>
          <w:color w:val="auto"/>
          <w:kern w:val="0"/>
          <w:sz w:val="28"/>
          <w:szCs w:val="28"/>
          <w:lang w:val="en-US" w:eastAsia="zh-CN"/>
        </w:rPr>
        <w:t>学分2</w:t>
      </w:r>
      <w:r>
        <w:rPr>
          <w:rFonts w:ascii="仿宋" w:hAnsi="仿宋" w:eastAsia="仿宋" w:cs="宋体"/>
          <w:color w:val="auto"/>
          <w:kern w:val="0"/>
          <w:sz w:val="28"/>
          <w:szCs w:val="28"/>
        </w:rPr>
        <w:t>……+课程</w:t>
      </w:r>
      <w:r>
        <w:rPr>
          <w:rFonts w:hint="eastAsia" w:ascii="仿宋" w:hAnsi="仿宋" w:eastAsia="仿宋" w:cs="宋体"/>
          <w:color w:val="auto"/>
          <w:kern w:val="0"/>
          <w:sz w:val="28"/>
          <w:szCs w:val="28"/>
        </w:rPr>
        <w:t>n成绩</w:t>
      </w:r>
      <w:r>
        <w:rPr>
          <w:rFonts w:ascii="仿宋" w:hAnsi="仿宋" w:eastAsia="仿宋" w:cs="宋体"/>
          <w:color w:val="auto"/>
          <w:kern w:val="0"/>
          <w:sz w:val="28"/>
          <w:szCs w:val="28"/>
        </w:rPr>
        <w:t>×</w:t>
      </w:r>
      <w:r>
        <w:rPr>
          <w:rFonts w:hint="eastAsia" w:ascii="仿宋" w:hAnsi="仿宋" w:eastAsia="仿宋" w:cs="宋体"/>
          <w:color w:val="auto"/>
          <w:kern w:val="0"/>
          <w:sz w:val="28"/>
          <w:szCs w:val="28"/>
          <w:lang w:val="en-US" w:eastAsia="zh-CN"/>
        </w:rPr>
        <w:t>学分n</w:t>
      </w:r>
      <w:r>
        <w:rPr>
          <w:rFonts w:ascii="仿宋" w:hAnsi="仿宋" w:eastAsia="仿宋" w:cs="宋体"/>
          <w:color w:val="auto"/>
          <w:kern w:val="0"/>
          <w:sz w:val="28"/>
          <w:szCs w:val="28"/>
        </w:rPr>
        <w:t>)/</w:t>
      </w:r>
      <w:r>
        <w:rPr>
          <w:rFonts w:hint="eastAsia" w:ascii="仿宋" w:hAnsi="仿宋" w:eastAsia="仿宋" w:cs="宋体"/>
          <w:color w:val="auto"/>
          <w:kern w:val="0"/>
          <w:sz w:val="28"/>
          <w:szCs w:val="28"/>
          <w:lang w:eastAsia="zh-CN"/>
        </w:rPr>
        <w:t>总学分</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lang w:eastAsia="zh-CN"/>
        </w:rPr>
        <w:t>注：</w:t>
      </w:r>
      <w:r>
        <w:rPr>
          <w:rFonts w:ascii="仿宋" w:hAnsi="仿宋" w:eastAsia="仿宋" w:cs="宋体"/>
          <w:color w:val="auto"/>
          <w:kern w:val="0"/>
          <w:sz w:val="28"/>
          <w:szCs w:val="28"/>
        </w:rPr>
        <w:t>满分</w:t>
      </w:r>
      <w:r>
        <w:rPr>
          <w:rFonts w:hint="eastAsia" w:ascii="仿宋" w:hAnsi="仿宋" w:eastAsia="仿宋" w:cs="宋体"/>
          <w:color w:val="auto"/>
          <w:kern w:val="0"/>
          <w:sz w:val="28"/>
          <w:szCs w:val="28"/>
        </w:rPr>
        <w:t>不是</w:t>
      </w:r>
      <w:r>
        <w:rPr>
          <w:rFonts w:ascii="仿宋" w:hAnsi="仿宋" w:eastAsia="仿宋" w:cs="宋体"/>
          <w:color w:val="auto"/>
          <w:kern w:val="0"/>
          <w:sz w:val="28"/>
          <w:szCs w:val="28"/>
        </w:rPr>
        <w:t>100分的课程，使用归化成绩：课程成绩/满分×100</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eastAsia="zh-CN"/>
        </w:rPr>
        <w:t>；如有免考科目（需提供证明），统一认定成绩为</w:t>
      </w:r>
      <w:r>
        <w:rPr>
          <w:rFonts w:hint="eastAsia" w:ascii="仿宋" w:hAnsi="仿宋" w:eastAsia="仿宋" w:cs="宋体"/>
          <w:color w:val="auto"/>
          <w:kern w:val="0"/>
          <w:sz w:val="28"/>
          <w:szCs w:val="28"/>
          <w:lang w:val="en-US" w:eastAsia="zh-CN"/>
        </w:rPr>
        <w:t>90分。</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2.</w:t>
      </w:r>
      <w:r>
        <w:rPr>
          <w:rFonts w:hint="eastAsia" w:ascii="宋体" w:hAnsi="宋体" w:cs="宋体"/>
          <w:color w:val="auto"/>
          <w:kern w:val="0"/>
          <w:sz w:val="28"/>
          <w:szCs w:val="28"/>
        </w:rPr>
        <w:t xml:space="preserve"> </w:t>
      </w:r>
      <w:r>
        <w:rPr>
          <w:rFonts w:hint="eastAsia" w:ascii="仿宋" w:hAnsi="仿宋" w:eastAsia="仿宋" w:cs="宋体"/>
          <w:color w:val="auto"/>
          <w:kern w:val="0"/>
          <w:sz w:val="28"/>
          <w:szCs w:val="28"/>
        </w:rPr>
        <w:t>学术与科研活动成绩</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1</w:t>
      </w:r>
      <w:r>
        <w:rPr>
          <w:rFonts w:hint="eastAsia" w:ascii="仿宋" w:hAnsi="仿宋" w:eastAsia="仿宋" w:cs="宋体"/>
          <w:color w:val="auto"/>
          <w:kern w:val="0"/>
          <w:sz w:val="28"/>
          <w:szCs w:val="28"/>
        </w:rPr>
        <w:t>）</w:t>
      </w:r>
      <w:r>
        <w:rPr>
          <w:rFonts w:ascii="仿宋" w:hAnsi="仿宋" w:eastAsia="仿宋" w:cs="宋体"/>
          <w:color w:val="auto"/>
          <w:kern w:val="0"/>
          <w:sz w:val="28"/>
          <w:szCs w:val="28"/>
        </w:rPr>
        <w:t>研究生科研成果应是苏州大学为第一署名单位且为通讯单位之一，并要求已见刊（on line）；</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2）发表I、II区SCI论文排名前三位作者计分方法按0.6、0.3、0.1比例计算；如前两位为共同第一作者，按0.45、0.45、0.1比例计算；前三位为共同第一作者，按1/3、1/3、1/3比例计算，</w:t>
      </w:r>
      <w:r>
        <w:rPr>
          <w:rFonts w:hint="eastAsia" w:ascii="仿宋" w:hAnsi="仿宋" w:eastAsia="仿宋" w:cs="宋体"/>
          <w:color w:val="auto"/>
          <w:kern w:val="0"/>
          <w:sz w:val="28"/>
          <w:szCs w:val="28"/>
        </w:rPr>
        <w:t>共同第一作者超过3人，按人数均分</w:t>
      </w:r>
      <w:r>
        <w:rPr>
          <w:rFonts w:ascii="仿宋" w:hAnsi="仿宋" w:eastAsia="仿宋" w:cs="宋体"/>
          <w:color w:val="auto"/>
          <w:kern w:val="0"/>
          <w:sz w:val="28"/>
          <w:szCs w:val="28"/>
        </w:rPr>
        <w:t>。Nature Index中杂志论文等同于I区SCI论文</w:t>
      </w:r>
      <w:r>
        <w:rPr>
          <w:rFonts w:hint="eastAsia" w:ascii="仿宋" w:hAnsi="仿宋" w:eastAsia="仿宋" w:cs="宋体"/>
          <w:color w:val="auto"/>
          <w:kern w:val="0"/>
          <w:sz w:val="28"/>
          <w:szCs w:val="28"/>
        </w:rPr>
        <w:t>，</w:t>
      </w:r>
      <w:r>
        <w:rPr>
          <w:rFonts w:ascii="仿宋" w:hAnsi="仿宋" w:eastAsia="仿宋" w:cs="宋体"/>
          <w:color w:val="auto"/>
          <w:kern w:val="0"/>
          <w:sz w:val="28"/>
          <w:szCs w:val="28"/>
        </w:rPr>
        <w:t>SSCI论文计分方法与SCI论文齐同；</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3）</w:t>
      </w:r>
      <w:r>
        <w:rPr>
          <w:rFonts w:hint="eastAsia" w:ascii="仿宋" w:hAnsi="仿宋" w:eastAsia="仿宋" w:cs="宋体"/>
          <w:color w:val="auto"/>
          <w:kern w:val="0"/>
          <w:sz w:val="28"/>
          <w:szCs w:val="28"/>
          <w:lang w:eastAsia="zh-CN"/>
        </w:rPr>
        <w:t>其他文章</w:t>
      </w:r>
      <w:r>
        <w:rPr>
          <w:rFonts w:ascii="仿宋" w:hAnsi="仿宋" w:eastAsia="仿宋" w:cs="宋体"/>
          <w:color w:val="auto"/>
          <w:kern w:val="0"/>
          <w:sz w:val="28"/>
          <w:szCs w:val="28"/>
        </w:rPr>
        <w:t>必须本人为第一/共同第一作者或导师为第一作者、本人为第二作者；如为共同第一作者，分值除以共同第一作者数；如果导师和本人为共同第一作者，分值全部计为本人</w:t>
      </w:r>
      <w:r>
        <w:rPr>
          <w:rFonts w:hint="eastAsia" w:ascii="仿宋" w:hAnsi="仿宋" w:eastAsia="仿宋" w:cs="宋体"/>
          <w:color w:val="auto"/>
          <w:kern w:val="0"/>
          <w:sz w:val="28"/>
          <w:szCs w:val="28"/>
        </w:rPr>
        <w:t>；如果</w:t>
      </w:r>
      <w:r>
        <w:rPr>
          <w:rFonts w:ascii="仿宋" w:hAnsi="仿宋" w:eastAsia="仿宋" w:cs="宋体"/>
          <w:color w:val="auto"/>
          <w:kern w:val="0"/>
          <w:sz w:val="28"/>
          <w:szCs w:val="28"/>
        </w:rPr>
        <w:t>导师为第一作者、本人为第二作者</w:t>
      </w:r>
      <w:r>
        <w:rPr>
          <w:rFonts w:hint="eastAsia" w:ascii="仿宋" w:hAnsi="仿宋" w:eastAsia="仿宋" w:cs="宋体"/>
          <w:color w:val="auto"/>
          <w:kern w:val="0"/>
          <w:sz w:val="28"/>
          <w:szCs w:val="28"/>
        </w:rPr>
        <w:t>，</w:t>
      </w:r>
      <w:r>
        <w:rPr>
          <w:rFonts w:ascii="仿宋" w:hAnsi="仿宋" w:eastAsia="仿宋" w:cs="宋体"/>
          <w:color w:val="auto"/>
          <w:kern w:val="0"/>
          <w:sz w:val="28"/>
          <w:szCs w:val="28"/>
        </w:rPr>
        <w:t>分值全部计为本人。否则均视为无效。</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4）</w:t>
      </w:r>
      <w:r>
        <w:rPr>
          <w:rFonts w:hint="eastAsia" w:ascii="仿宋" w:hAnsi="仿宋" w:eastAsia="仿宋" w:cs="宋体"/>
          <w:color w:val="auto"/>
          <w:kern w:val="0"/>
          <w:sz w:val="28"/>
          <w:szCs w:val="28"/>
        </w:rPr>
        <w:t>综述文章和M</w:t>
      </w:r>
      <w:r>
        <w:rPr>
          <w:rFonts w:ascii="仿宋" w:hAnsi="仿宋" w:eastAsia="仿宋" w:cs="宋体"/>
          <w:color w:val="auto"/>
          <w:kern w:val="0"/>
          <w:sz w:val="28"/>
          <w:szCs w:val="28"/>
        </w:rPr>
        <w:t>eta文章按同档次杂志的0.5计算；letter、病例报告、短篇论著、增刊论文、增版论文等不能作为科研成果提交。</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5）项目及科研奖项分为校、省部级和国家级（其中校级奖项和项目限报两项，同类项目和奖项限报一项），项目本人需排名第一，团体竞赛类获奖按人数均分，相同内容的不同级别项目和获奖限报最高级别。研究生获奖情况只填写校级及以上获奖（含校级奖励）。</w:t>
      </w:r>
    </w:p>
    <w:p>
      <w:pPr>
        <w:widowControl/>
        <w:shd w:val="clear" w:color="auto" w:fill="FFFFFF"/>
        <w:spacing w:before="156" w:beforeLines="50" w:after="156" w:afterLines="50" w:line="240" w:lineRule="atLeast"/>
        <w:ind w:firstLine="560" w:firstLineChars="200"/>
        <w:rPr>
          <w:rFonts w:hint="eastAsia" w:ascii="仿宋" w:hAnsi="仿宋" w:eastAsia="仿宋" w:cs="宋体"/>
          <w:color w:val="auto"/>
          <w:kern w:val="0"/>
          <w:sz w:val="28"/>
          <w:szCs w:val="28"/>
          <w:lang w:eastAsia="zh-CN"/>
        </w:rPr>
      </w:pPr>
      <w:r>
        <w:rPr>
          <w:rFonts w:ascii="仿宋" w:hAnsi="仿宋" w:eastAsia="仿宋" w:cs="宋体"/>
          <w:color w:val="auto"/>
          <w:kern w:val="0"/>
          <w:sz w:val="28"/>
          <w:szCs w:val="28"/>
        </w:rPr>
        <w:t>6）专利计分仅限本人为第一发明人或导师第一、本人第二，后者计分按</w:t>
      </w:r>
      <w:r>
        <w:rPr>
          <w:rFonts w:hint="eastAsia" w:ascii="仿宋" w:hAnsi="仿宋" w:eastAsia="仿宋" w:cs="宋体"/>
          <w:color w:val="auto"/>
          <w:kern w:val="0"/>
          <w:sz w:val="28"/>
          <w:szCs w:val="28"/>
          <w:lang w:eastAsia="zh-CN"/>
        </w:rPr>
        <w:t>第一作者的</w:t>
      </w:r>
      <w:r>
        <w:rPr>
          <w:rFonts w:hint="eastAsia" w:ascii="仿宋" w:hAnsi="仿宋" w:eastAsia="仿宋" w:cs="宋体"/>
          <w:color w:val="auto"/>
          <w:kern w:val="0"/>
          <w:sz w:val="28"/>
          <w:szCs w:val="28"/>
          <w:lang w:val="en-US" w:eastAsia="zh-CN"/>
        </w:rPr>
        <w:t>0.5倍</w:t>
      </w:r>
      <w:r>
        <w:rPr>
          <w:rFonts w:ascii="仿宋" w:hAnsi="仿宋" w:eastAsia="仿宋" w:cs="宋体"/>
          <w:color w:val="auto"/>
          <w:kern w:val="0"/>
          <w:sz w:val="28"/>
          <w:szCs w:val="28"/>
        </w:rPr>
        <w:t>计算。</w:t>
      </w:r>
      <w:r>
        <w:rPr>
          <w:rFonts w:hint="eastAsia" w:ascii="仿宋" w:hAnsi="仿宋" w:eastAsia="仿宋" w:cs="宋体"/>
          <w:color w:val="auto"/>
          <w:kern w:val="0"/>
          <w:sz w:val="28"/>
          <w:szCs w:val="28"/>
          <w:lang w:eastAsia="zh-CN"/>
        </w:rPr>
        <w:t>排名顺序以申报书为准，各类知识产权只参评一次。知识产权申请的单位署名需为“苏州大学”。</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7）</w:t>
      </w:r>
      <w:r>
        <w:rPr>
          <w:rFonts w:hint="eastAsia" w:ascii="仿宋" w:hAnsi="仿宋" w:eastAsia="仿宋" w:cs="宋体"/>
          <w:color w:val="auto"/>
          <w:kern w:val="0"/>
          <w:sz w:val="28"/>
          <w:szCs w:val="28"/>
        </w:rPr>
        <w:t>材料</w:t>
      </w:r>
      <w:r>
        <w:rPr>
          <w:rFonts w:ascii="仿宋" w:hAnsi="仿宋" w:eastAsia="仿宋" w:cs="宋体"/>
          <w:color w:val="auto"/>
          <w:kern w:val="0"/>
          <w:sz w:val="28"/>
          <w:szCs w:val="28"/>
        </w:rPr>
        <w:t>认定时间为</w:t>
      </w:r>
      <w:r>
        <w:rPr>
          <w:rFonts w:hint="eastAsia" w:ascii="仿宋" w:hAnsi="仿宋" w:eastAsia="仿宋" w:cs="宋体"/>
          <w:color w:val="auto"/>
          <w:kern w:val="0"/>
          <w:sz w:val="28"/>
          <w:szCs w:val="28"/>
        </w:rPr>
        <w:t>研究生学业奖学金评定日期前一年内</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rPr>
        <w:t>杂志分区以论文发表当年情况为准，发表时如果暂未发布新的分区，就按前一年的分区为准。作者排名上如有共同第一作者的一定要标明。如果申请人在文章分区、作者排名、发表时间等问题上虚假瞒报，经核实后取消本次评奖资格。以前已用于申请并获得同类奖助学金的科研成果或者奖项、项目、专利不得在本次申请时重复使用，</w:t>
      </w:r>
      <w:r>
        <w:rPr>
          <w:rFonts w:ascii="仿宋" w:hAnsi="仿宋" w:eastAsia="仿宋" w:cs="宋体"/>
          <w:color w:val="auto"/>
          <w:kern w:val="0"/>
          <w:sz w:val="28"/>
          <w:szCs w:val="28"/>
        </w:rPr>
        <w:t>如果</w:t>
      </w:r>
      <w:r>
        <w:rPr>
          <w:rFonts w:hint="eastAsia" w:ascii="仿宋" w:hAnsi="仿宋" w:eastAsia="仿宋" w:cs="宋体"/>
          <w:color w:val="auto"/>
          <w:kern w:val="0"/>
          <w:sz w:val="28"/>
          <w:szCs w:val="28"/>
        </w:rPr>
        <w:t>存在</w:t>
      </w:r>
      <w:r>
        <w:rPr>
          <w:rFonts w:ascii="仿宋" w:hAnsi="仿宋" w:eastAsia="仿宋" w:cs="宋体"/>
          <w:color w:val="auto"/>
          <w:kern w:val="0"/>
          <w:sz w:val="28"/>
          <w:szCs w:val="28"/>
        </w:rPr>
        <w:t>虚假瞒报</w:t>
      </w:r>
      <w:r>
        <w:rPr>
          <w:rFonts w:hint="eastAsia" w:ascii="仿宋" w:hAnsi="仿宋" w:eastAsia="仿宋" w:cs="宋体"/>
          <w:color w:val="auto"/>
          <w:kern w:val="0"/>
          <w:sz w:val="28"/>
          <w:szCs w:val="28"/>
        </w:rPr>
        <w:t>情况</w:t>
      </w:r>
      <w:r>
        <w:rPr>
          <w:rFonts w:ascii="仿宋" w:hAnsi="仿宋" w:eastAsia="仿宋" w:cs="宋体"/>
          <w:color w:val="auto"/>
          <w:kern w:val="0"/>
          <w:sz w:val="28"/>
          <w:szCs w:val="28"/>
        </w:rPr>
        <w:t>，经核实后取消</w:t>
      </w:r>
      <w:r>
        <w:rPr>
          <w:rFonts w:hint="eastAsia" w:ascii="仿宋" w:hAnsi="仿宋" w:eastAsia="仿宋" w:cs="宋体"/>
          <w:color w:val="auto"/>
          <w:kern w:val="0"/>
          <w:sz w:val="28"/>
          <w:szCs w:val="28"/>
        </w:rPr>
        <w:t>当</w:t>
      </w:r>
      <w:r>
        <w:rPr>
          <w:rFonts w:ascii="仿宋" w:hAnsi="仿宋" w:eastAsia="仿宋" w:cs="宋体"/>
          <w:color w:val="auto"/>
          <w:kern w:val="0"/>
          <w:sz w:val="28"/>
          <w:szCs w:val="28"/>
        </w:rPr>
        <w:t>次评奖资格</w:t>
      </w:r>
      <w:r>
        <w:rPr>
          <w:rFonts w:hint="eastAsia" w:ascii="仿宋" w:hAnsi="仿宋" w:eastAsia="仿宋" w:cs="宋体"/>
          <w:color w:val="auto"/>
          <w:kern w:val="0"/>
          <w:sz w:val="28"/>
          <w:szCs w:val="28"/>
        </w:rPr>
        <w:t>及本年度其他奖优评选，并记入个人诚信档案</w:t>
      </w:r>
      <w:r>
        <w:rPr>
          <w:rFonts w:ascii="仿宋" w:hAnsi="仿宋" w:eastAsia="仿宋" w:cs="宋体"/>
          <w:color w:val="auto"/>
          <w:kern w:val="0"/>
          <w:sz w:val="28"/>
          <w:szCs w:val="28"/>
        </w:rPr>
        <w:t>。</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8）级别不够明确的项目和奖项由学院“</w:t>
      </w:r>
      <w:r>
        <w:rPr>
          <w:rFonts w:hint="eastAsia" w:ascii="仿宋" w:hAnsi="仿宋" w:eastAsia="仿宋" w:cs="宋体"/>
          <w:color w:val="auto"/>
          <w:kern w:val="0"/>
          <w:sz w:val="28"/>
          <w:szCs w:val="28"/>
        </w:rPr>
        <w:t>评奖评优</w:t>
      </w:r>
      <w:r>
        <w:rPr>
          <w:rFonts w:ascii="仿宋" w:hAnsi="仿宋" w:eastAsia="仿宋" w:cs="宋体"/>
          <w:color w:val="auto"/>
          <w:kern w:val="0"/>
          <w:sz w:val="28"/>
          <w:szCs w:val="28"/>
        </w:rPr>
        <w:t>评审委员会”根据奖项的重要性和影响力讨论认定级别，其他未尽事宜如有发生由学院“</w:t>
      </w:r>
      <w:r>
        <w:rPr>
          <w:rFonts w:hint="eastAsia" w:ascii="仿宋" w:hAnsi="仿宋" w:eastAsia="仿宋" w:cs="宋体"/>
          <w:color w:val="auto"/>
          <w:kern w:val="0"/>
          <w:sz w:val="28"/>
          <w:szCs w:val="28"/>
        </w:rPr>
        <w:t>评奖评优</w:t>
      </w:r>
      <w:r>
        <w:rPr>
          <w:rFonts w:ascii="仿宋" w:hAnsi="仿宋" w:eastAsia="仿宋" w:cs="宋体"/>
          <w:color w:val="auto"/>
          <w:kern w:val="0"/>
          <w:sz w:val="28"/>
          <w:szCs w:val="28"/>
        </w:rPr>
        <w:t>评审委员会”讨论决定。</w:t>
      </w:r>
    </w:p>
    <w:tbl>
      <w:tblPr>
        <w:tblStyle w:val="1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97"/>
        <w:gridCol w:w="537"/>
        <w:gridCol w:w="708"/>
        <w:gridCol w:w="567"/>
        <w:gridCol w:w="709"/>
        <w:gridCol w:w="709"/>
        <w:gridCol w:w="709"/>
        <w:gridCol w:w="792"/>
        <w:gridCol w:w="568"/>
        <w:gridCol w:w="509"/>
        <w:gridCol w:w="686"/>
        <w:gridCol w:w="518"/>
        <w:gridCol w:w="437"/>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421" w:type="dxa"/>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类别</w:t>
            </w:r>
          </w:p>
        </w:tc>
        <w:tc>
          <w:tcPr>
            <w:tcW w:w="3827" w:type="dxa"/>
            <w:gridSpan w:val="6"/>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论文</w:t>
            </w:r>
            <w:r>
              <w:rPr>
                <w:rFonts w:hint="eastAsia" w:ascii="Times New Roman" w:hAnsi="Times New Roman" w:cs="Times New Roman"/>
                <w:color w:val="auto"/>
              </w:rPr>
              <w:t>（SCI按中科院</w:t>
            </w:r>
            <w:r>
              <w:rPr>
                <w:rFonts w:ascii="Times New Roman" w:hAnsi="Times New Roman" w:cs="Times New Roman"/>
                <w:color w:val="auto"/>
              </w:rPr>
              <w:t>分区</w:t>
            </w:r>
            <w:bookmarkStart w:id="0" w:name="OLE_LINK4"/>
            <w:bookmarkStart w:id="1" w:name="OLE_LINK3"/>
            <w:r>
              <w:rPr>
                <w:rFonts w:hint="eastAsia" w:ascii="宋体" w:hAnsi="宋体" w:eastAsia="宋体" w:cs="宋体"/>
                <w:color w:val="auto"/>
              </w:rPr>
              <w:t>Ⅰ</w:t>
            </w:r>
            <w:bookmarkEnd w:id="0"/>
            <w:bookmarkEnd w:id="1"/>
            <w:r>
              <w:rPr>
                <w:rFonts w:ascii="Times New Roman" w:hAnsi="Times New Roman" w:cs="Times New Roman"/>
                <w:color w:val="auto"/>
              </w:rPr>
              <w:t>-</w:t>
            </w:r>
            <w:r>
              <w:rPr>
                <w:rFonts w:hint="eastAsia" w:ascii="宋体" w:hAnsi="宋体" w:eastAsia="宋体" w:cs="宋体"/>
                <w:color w:val="auto"/>
              </w:rPr>
              <w:t>Ⅳ区</w:t>
            </w:r>
            <w:r>
              <w:rPr>
                <w:rFonts w:ascii="宋体" w:hAnsi="宋体" w:eastAsia="宋体" w:cs="宋体"/>
                <w:color w:val="auto"/>
              </w:rPr>
              <w:t>计算）</w:t>
            </w:r>
          </w:p>
        </w:tc>
        <w:tc>
          <w:tcPr>
            <w:tcW w:w="1501" w:type="dxa"/>
            <w:gridSpan w:val="2"/>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授权专利</w:t>
            </w:r>
          </w:p>
        </w:tc>
        <w:tc>
          <w:tcPr>
            <w:tcW w:w="1763" w:type="dxa"/>
            <w:gridSpan w:val="3"/>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项目</w:t>
            </w:r>
          </w:p>
        </w:tc>
        <w:tc>
          <w:tcPr>
            <w:tcW w:w="1418" w:type="dxa"/>
            <w:gridSpan w:val="3"/>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421" w:type="dxa"/>
            <w:vAlign w:val="center"/>
          </w:tcPr>
          <w:p>
            <w:pPr>
              <w:spacing w:before="156" w:beforeLines="50" w:after="156" w:afterLines="50" w:line="240" w:lineRule="atLeast"/>
              <w:jc w:val="center"/>
              <w:rPr>
                <w:rFonts w:ascii="Times New Roman" w:hAnsi="Times New Roman" w:cs="Times New Roman"/>
                <w:color w:val="auto"/>
              </w:rPr>
            </w:pPr>
          </w:p>
        </w:tc>
        <w:tc>
          <w:tcPr>
            <w:tcW w:w="597"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宋体" w:hAnsi="宋体" w:eastAsia="宋体" w:cs="宋体"/>
                <w:color w:val="auto"/>
              </w:rPr>
              <w:t>Ⅰ</w:t>
            </w:r>
            <w:r>
              <w:rPr>
                <w:rFonts w:ascii="Times New Roman" w:hAnsi="Times New Roman" w:cs="Times New Roman"/>
                <w:color w:val="auto"/>
              </w:rPr>
              <w:t>区</w:t>
            </w:r>
          </w:p>
        </w:tc>
        <w:tc>
          <w:tcPr>
            <w:tcW w:w="537"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Ⅱ</w:t>
            </w:r>
            <w:r>
              <w:rPr>
                <w:rFonts w:ascii="Times New Roman" w:hAnsi="Times New Roman" w:cs="Times New Roman"/>
                <w:color w:val="auto"/>
              </w:rPr>
              <w:t>区</w:t>
            </w:r>
          </w:p>
        </w:tc>
        <w:tc>
          <w:tcPr>
            <w:tcW w:w="708"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Ⅲ</w:t>
            </w:r>
            <w:r>
              <w:rPr>
                <w:rFonts w:ascii="Times New Roman" w:hAnsi="Times New Roman" w:cs="Times New Roman"/>
                <w:color w:val="auto"/>
              </w:rPr>
              <w:t>区/</w:t>
            </w:r>
            <w:r>
              <w:rPr>
                <w:rFonts w:hint="eastAsia" w:ascii="宋体" w:hAnsi="宋体" w:eastAsia="宋体" w:cs="宋体"/>
                <w:color w:val="auto"/>
              </w:rPr>
              <w:t>Ⅳ</w:t>
            </w:r>
            <w:r>
              <w:rPr>
                <w:rFonts w:ascii="Times New Roman" w:hAnsi="Times New Roman" w:cs="Times New Roman"/>
                <w:color w:val="auto"/>
              </w:rPr>
              <w:t>区</w:t>
            </w:r>
          </w:p>
        </w:tc>
        <w:tc>
          <w:tcPr>
            <w:tcW w:w="567" w:type="dxa"/>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EI</w:t>
            </w:r>
          </w:p>
        </w:tc>
        <w:tc>
          <w:tcPr>
            <w:tcW w:w="709"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核心</w:t>
            </w:r>
          </w:p>
        </w:tc>
        <w:tc>
          <w:tcPr>
            <w:tcW w:w="709"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省级</w:t>
            </w:r>
          </w:p>
        </w:tc>
        <w:tc>
          <w:tcPr>
            <w:tcW w:w="709" w:type="dxa"/>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发明</w:t>
            </w:r>
          </w:p>
        </w:tc>
        <w:tc>
          <w:tcPr>
            <w:tcW w:w="792" w:type="dxa"/>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其他专利</w:t>
            </w:r>
          </w:p>
        </w:tc>
        <w:tc>
          <w:tcPr>
            <w:tcW w:w="568" w:type="dxa"/>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国家级</w:t>
            </w:r>
          </w:p>
        </w:tc>
        <w:tc>
          <w:tcPr>
            <w:tcW w:w="509" w:type="dxa"/>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省级</w:t>
            </w:r>
          </w:p>
        </w:tc>
        <w:tc>
          <w:tcPr>
            <w:tcW w:w="686" w:type="dxa"/>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市厅级</w:t>
            </w:r>
            <w:r>
              <w:rPr>
                <w:rFonts w:hint="eastAsia" w:ascii="Times New Roman" w:hAnsi="Times New Roman" w:cs="Times New Roman"/>
                <w:color w:val="auto"/>
              </w:rPr>
              <w:t>/校级</w:t>
            </w:r>
          </w:p>
        </w:tc>
        <w:tc>
          <w:tcPr>
            <w:tcW w:w="518" w:type="dxa"/>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国家</w:t>
            </w:r>
          </w:p>
        </w:tc>
        <w:tc>
          <w:tcPr>
            <w:tcW w:w="437" w:type="dxa"/>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省级</w:t>
            </w:r>
          </w:p>
        </w:tc>
        <w:tc>
          <w:tcPr>
            <w:tcW w:w="463" w:type="dxa"/>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421" w:type="dxa"/>
            <w:vAlign w:val="center"/>
          </w:tcPr>
          <w:p>
            <w:pPr>
              <w:spacing w:before="156" w:beforeLines="50" w:after="156" w:afterLines="50" w:line="240" w:lineRule="atLeast"/>
              <w:jc w:val="center"/>
              <w:rPr>
                <w:rFonts w:ascii="Times New Roman" w:hAnsi="Times New Roman" w:cs="Times New Roman"/>
                <w:color w:val="auto"/>
              </w:rPr>
            </w:pPr>
            <w:r>
              <w:rPr>
                <w:rFonts w:ascii="Times New Roman" w:hAnsi="Times New Roman" w:cs="Times New Roman"/>
                <w:color w:val="auto"/>
              </w:rPr>
              <w:t>分值</w:t>
            </w:r>
          </w:p>
        </w:tc>
        <w:tc>
          <w:tcPr>
            <w:tcW w:w="597"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80</w:t>
            </w:r>
          </w:p>
        </w:tc>
        <w:tc>
          <w:tcPr>
            <w:tcW w:w="537"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40</w:t>
            </w:r>
          </w:p>
        </w:tc>
        <w:tc>
          <w:tcPr>
            <w:tcW w:w="708"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10</w:t>
            </w:r>
          </w:p>
        </w:tc>
        <w:tc>
          <w:tcPr>
            <w:tcW w:w="567"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10</w:t>
            </w:r>
          </w:p>
        </w:tc>
        <w:tc>
          <w:tcPr>
            <w:tcW w:w="709"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3</w:t>
            </w:r>
          </w:p>
        </w:tc>
        <w:tc>
          <w:tcPr>
            <w:tcW w:w="709"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1</w:t>
            </w:r>
          </w:p>
        </w:tc>
        <w:tc>
          <w:tcPr>
            <w:tcW w:w="709"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10</w:t>
            </w:r>
          </w:p>
        </w:tc>
        <w:tc>
          <w:tcPr>
            <w:tcW w:w="792"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5</w:t>
            </w:r>
          </w:p>
        </w:tc>
        <w:tc>
          <w:tcPr>
            <w:tcW w:w="568"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30</w:t>
            </w:r>
          </w:p>
        </w:tc>
        <w:tc>
          <w:tcPr>
            <w:tcW w:w="509"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10</w:t>
            </w:r>
          </w:p>
        </w:tc>
        <w:tc>
          <w:tcPr>
            <w:tcW w:w="686" w:type="dxa"/>
            <w:vAlign w:val="center"/>
          </w:tcPr>
          <w:p>
            <w:pPr>
              <w:spacing w:before="156" w:beforeLines="50" w:after="156" w:afterLines="50" w:line="240" w:lineRule="atLeast"/>
              <w:jc w:val="center"/>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val="en-US" w:eastAsia="zh-CN"/>
              </w:rPr>
              <w:t>5</w:t>
            </w:r>
          </w:p>
        </w:tc>
        <w:tc>
          <w:tcPr>
            <w:tcW w:w="518" w:type="dxa"/>
            <w:vAlign w:val="center"/>
          </w:tcPr>
          <w:p>
            <w:pPr>
              <w:spacing w:before="156" w:beforeLines="50" w:after="156" w:afterLines="50" w:line="240" w:lineRule="atLeast"/>
              <w:jc w:val="center"/>
              <w:rPr>
                <w:rFonts w:ascii="Times New Roman" w:hAnsi="Times New Roman" w:cs="Times New Roman"/>
                <w:color w:val="auto"/>
              </w:rPr>
            </w:pPr>
            <w:r>
              <w:rPr>
                <w:rFonts w:hint="eastAsia" w:ascii="Times New Roman" w:hAnsi="Times New Roman" w:cs="Times New Roman"/>
                <w:color w:val="auto"/>
              </w:rPr>
              <w:t>60</w:t>
            </w:r>
          </w:p>
        </w:tc>
        <w:tc>
          <w:tcPr>
            <w:tcW w:w="437" w:type="dxa"/>
            <w:vAlign w:val="center"/>
          </w:tcPr>
          <w:p>
            <w:pPr>
              <w:spacing w:before="156" w:beforeLines="50" w:after="156" w:afterLines="50" w:line="240" w:lineRule="atLeast"/>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30</w:t>
            </w:r>
          </w:p>
        </w:tc>
        <w:tc>
          <w:tcPr>
            <w:tcW w:w="463" w:type="dxa"/>
            <w:vAlign w:val="center"/>
          </w:tcPr>
          <w:p>
            <w:pPr>
              <w:spacing w:before="156" w:beforeLines="50" w:after="156" w:afterLines="50" w:line="240" w:lineRule="atLeast"/>
              <w:jc w:val="center"/>
              <w:rPr>
                <w:rFonts w:hint="default" w:ascii="Times New Roman" w:hAnsi="Times New Roman" w:cs="Times New Roman"/>
                <w:color w:val="auto"/>
                <w:lang w:val="en-US"/>
              </w:rPr>
            </w:pPr>
            <w:r>
              <w:rPr>
                <w:rFonts w:hint="eastAsia" w:ascii="Times New Roman" w:hAnsi="Times New Roman" w:cs="Times New Roman"/>
                <w:color w:val="auto"/>
                <w:lang w:val="en-US" w:eastAsia="zh-CN"/>
              </w:rPr>
              <w:t>10</w:t>
            </w:r>
          </w:p>
        </w:tc>
      </w:tr>
    </w:tbl>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p>
    <w:p>
      <w:pPr>
        <w:widowControl/>
        <w:shd w:val="clear" w:color="auto" w:fill="FFFFFF"/>
        <w:spacing w:before="156" w:beforeLines="50" w:after="156" w:afterLines="50" w:line="240" w:lineRule="atLeast"/>
        <w:ind w:firstLine="562" w:firstLineChars="200"/>
        <w:rPr>
          <w:rFonts w:ascii="楷体" w:hAnsi="楷体" w:eastAsia="楷体" w:cs="宋体"/>
          <w:color w:val="auto"/>
          <w:kern w:val="0"/>
          <w:sz w:val="28"/>
          <w:szCs w:val="28"/>
        </w:rPr>
      </w:pPr>
      <w:r>
        <w:rPr>
          <w:rFonts w:hint="eastAsia" w:ascii="楷体" w:hAnsi="楷体" w:eastAsia="楷体" w:cs="宋体"/>
          <w:b/>
          <w:bCs/>
          <w:color w:val="auto"/>
          <w:kern w:val="0"/>
          <w:sz w:val="28"/>
          <w:szCs w:val="28"/>
        </w:rPr>
        <w:t>注：</w:t>
      </w:r>
      <w:r>
        <w:rPr>
          <w:rFonts w:hint="eastAsia" w:ascii="楷体" w:hAnsi="楷体" w:eastAsia="楷体" w:cs="宋体"/>
          <w:color w:val="auto"/>
          <w:kern w:val="0"/>
          <w:sz w:val="28"/>
          <w:szCs w:val="28"/>
        </w:rPr>
        <w:t>1.项目是指：政府部门（基金委、科技部、教委等，省市厅校类推）下达的纵向课题。</w:t>
      </w:r>
    </w:p>
    <w:p>
      <w:pPr>
        <w:widowControl/>
        <w:shd w:val="clear" w:color="auto" w:fill="FFFFFF"/>
        <w:spacing w:before="156" w:beforeLines="50" w:after="156" w:afterLines="50" w:line="240" w:lineRule="atLeast"/>
        <w:ind w:firstLine="1120" w:firstLineChars="400"/>
        <w:rPr>
          <w:rFonts w:hint="eastAsia" w:ascii="楷体" w:hAnsi="楷体" w:eastAsia="楷体" w:cs="宋体"/>
          <w:color w:val="auto"/>
          <w:kern w:val="0"/>
          <w:sz w:val="28"/>
          <w:szCs w:val="28"/>
        </w:rPr>
      </w:pPr>
      <w:r>
        <w:rPr>
          <w:rFonts w:hint="eastAsia" w:ascii="楷体" w:hAnsi="楷体" w:eastAsia="楷体" w:cs="宋体"/>
          <w:color w:val="auto"/>
          <w:kern w:val="0"/>
          <w:sz w:val="28"/>
          <w:szCs w:val="28"/>
        </w:rPr>
        <w:t>2.奖项是指：竞赛类获奖；政府部门（科技部、教委等，省市厅类推）颁发的奖项；国家一级学会如中华医学会奖项可视作省部级奖；校级奖与市厅级等同。所有不同等级奖项均不包括学术会议奖及学术论文奖。</w:t>
      </w:r>
    </w:p>
    <w:p>
      <w:pPr>
        <w:widowControl/>
        <w:shd w:val="clear" w:color="auto" w:fill="FFFFFF"/>
        <w:spacing w:before="156" w:beforeLines="50" w:after="156" w:afterLines="50" w:line="240" w:lineRule="atLeast"/>
        <w:ind w:firstLine="1120" w:firstLineChars="400"/>
        <w:rPr>
          <w:rFonts w:hint="eastAsia" w:ascii="楷体" w:hAnsi="楷体" w:eastAsia="楷体" w:cs="宋体"/>
          <w:color w:val="auto"/>
          <w:kern w:val="0"/>
          <w:sz w:val="28"/>
          <w:szCs w:val="28"/>
          <w:lang w:val="en-US" w:eastAsia="zh-CN"/>
        </w:rPr>
      </w:pPr>
      <w:r>
        <w:rPr>
          <w:rFonts w:hint="eastAsia" w:ascii="楷体" w:hAnsi="楷体" w:eastAsia="楷体" w:cs="宋体"/>
          <w:color w:val="auto"/>
          <w:kern w:val="0"/>
          <w:sz w:val="28"/>
          <w:szCs w:val="28"/>
          <w:lang w:val="en-US" w:eastAsia="zh-CN"/>
        </w:rPr>
        <w:t>3.</w:t>
      </w:r>
      <w:r>
        <w:rPr>
          <w:rFonts w:hint="eastAsia" w:ascii="楷体" w:hAnsi="楷体" w:eastAsia="楷体" w:cs="宋体"/>
          <w:color w:val="auto"/>
          <w:kern w:val="0"/>
          <w:sz w:val="28"/>
          <w:szCs w:val="28"/>
        </w:rPr>
        <w:t>核心期刊主要包括北京大学图书馆“中文核心期刊”及</w:t>
      </w:r>
      <w:r>
        <w:rPr>
          <w:rFonts w:hint="eastAsia" w:ascii="楷体" w:hAnsi="楷体" w:eastAsia="楷体" w:cs="宋体"/>
          <w:color w:val="auto"/>
          <w:kern w:val="0"/>
          <w:sz w:val="28"/>
          <w:szCs w:val="28"/>
        </w:rPr>
        <w:fldChar w:fldCharType="begin"/>
      </w:r>
      <w:r>
        <w:rPr>
          <w:rFonts w:hint="eastAsia" w:ascii="楷体" w:hAnsi="楷体" w:eastAsia="楷体" w:cs="宋体"/>
          <w:color w:val="auto"/>
          <w:kern w:val="0"/>
          <w:sz w:val="28"/>
          <w:szCs w:val="28"/>
        </w:rPr>
        <w:instrText xml:space="preserve"> HYPERLINK "https://baike.baidu.com/item/%E5%8D%97%E4%BA%AC%E5%A4%A7%E5%AD%A6/137482?fromModule=lemma_inlink" \t "https://baike.baidu.com/item/%E6%A0%B8%E5%BF%83%E6%9C%9F%E5%88%8A/_blank" </w:instrText>
      </w:r>
      <w:r>
        <w:rPr>
          <w:rFonts w:hint="eastAsia" w:ascii="楷体" w:hAnsi="楷体" w:eastAsia="楷体" w:cs="宋体"/>
          <w:color w:val="auto"/>
          <w:kern w:val="0"/>
          <w:sz w:val="28"/>
          <w:szCs w:val="28"/>
        </w:rPr>
        <w:fldChar w:fldCharType="separate"/>
      </w:r>
      <w:r>
        <w:rPr>
          <w:rFonts w:hint="eastAsia" w:ascii="楷体" w:hAnsi="楷体" w:eastAsia="楷体" w:cs="宋体"/>
          <w:color w:val="auto"/>
          <w:kern w:val="0"/>
          <w:sz w:val="28"/>
          <w:szCs w:val="28"/>
        </w:rPr>
        <w:t>南京大学</w:t>
      </w:r>
      <w:r>
        <w:rPr>
          <w:rFonts w:hint="eastAsia" w:ascii="楷体" w:hAnsi="楷体" w:eastAsia="楷体" w:cs="宋体"/>
          <w:color w:val="auto"/>
          <w:kern w:val="0"/>
          <w:sz w:val="28"/>
          <w:szCs w:val="28"/>
        </w:rPr>
        <w:fldChar w:fldCharType="end"/>
      </w:r>
      <w:r>
        <w:rPr>
          <w:rFonts w:hint="eastAsia" w:ascii="楷体" w:hAnsi="楷体" w:eastAsia="楷体" w:cs="宋体"/>
          <w:color w:val="auto"/>
          <w:kern w:val="0"/>
          <w:sz w:val="28"/>
          <w:szCs w:val="28"/>
        </w:rPr>
        <w:t>“</w:t>
      </w:r>
      <w:r>
        <w:rPr>
          <w:rFonts w:hint="eastAsia" w:ascii="楷体" w:hAnsi="楷体" w:eastAsia="楷体" w:cs="宋体"/>
          <w:color w:val="auto"/>
          <w:kern w:val="0"/>
          <w:sz w:val="28"/>
          <w:szCs w:val="28"/>
        </w:rPr>
        <w:fldChar w:fldCharType="begin"/>
      </w:r>
      <w:r>
        <w:rPr>
          <w:rFonts w:hint="eastAsia" w:ascii="楷体" w:hAnsi="楷体" w:eastAsia="楷体" w:cs="宋体"/>
          <w:color w:val="auto"/>
          <w:kern w:val="0"/>
          <w:sz w:val="28"/>
          <w:szCs w:val="28"/>
        </w:rPr>
        <w:instrText xml:space="preserve"> HYPERLINK "https://baike.baidu.com/item/%E4%B8%AD%E6%96%87%E7%A4%BE%E4%BC%9A%E7%A7%91%E5%AD%A6%E5%BC%95%E6%96%87%E7%B4%A2%E5%BC%95/1007225?fromModule=lemma_inlink" \t "https://baike.baidu.com/item/%E6%A0%B8%E5%BF%83%E6%9C%9F%E5%88%8A/_blank" </w:instrText>
      </w:r>
      <w:r>
        <w:rPr>
          <w:rFonts w:hint="eastAsia" w:ascii="楷体" w:hAnsi="楷体" w:eastAsia="楷体" w:cs="宋体"/>
          <w:color w:val="auto"/>
          <w:kern w:val="0"/>
          <w:sz w:val="28"/>
          <w:szCs w:val="28"/>
        </w:rPr>
        <w:fldChar w:fldCharType="separate"/>
      </w:r>
      <w:r>
        <w:rPr>
          <w:rFonts w:hint="eastAsia" w:ascii="楷体" w:hAnsi="楷体" w:eastAsia="楷体" w:cs="宋体"/>
          <w:color w:val="auto"/>
          <w:kern w:val="0"/>
          <w:sz w:val="28"/>
          <w:szCs w:val="28"/>
        </w:rPr>
        <w:t>中文社会科学引文索引</w:t>
      </w:r>
      <w:r>
        <w:rPr>
          <w:rFonts w:hint="eastAsia" w:ascii="楷体" w:hAnsi="楷体" w:eastAsia="楷体" w:cs="宋体"/>
          <w:color w:val="auto"/>
          <w:kern w:val="0"/>
          <w:sz w:val="28"/>
          <w:szCs w:val="28"/>
        </w:rPr>
        <w:fldChar w:fldCharType="end"/>
      </w:r>
      <w:r>
        <w:rPr>
          <w:rFonts w:hint="eastAsia" w:ascii="楷体" w:hAnsi="楷体" w:eastAsia="楷体" w:cs="宋体"/>
          <w:color w:val="auto"/>
          <w:kern w:val="0"/>
          <w:sz w:val="28"/>
          <w:szCs w:val="28"/>
        </w:rPr>
        <w:t>（</w:t>
      </w:r>
      <w:r>
        <w:rPr>
          <w:rFonts w:hint="eastAsia" w:ascii="楷体" w:hAnsi="楷体" w:eastAsia="楷体" w:cs="宋体"/>
          <w:color w:val="auto"/>
          <w:kern w:val="0"/>
          <w:sz w:val="28"/>
          <w:szCs w:val="28"/>
        </w:rPr>
        <w:fldChar w:fldCharType="begin"/>
      </w:r>
      <w:r>
        <w:rPr>
          <w:rFonts w:hint="eastAsia" w:ascii="楷体" w:hAnsi="楷体" w:eastAsia="楷体" w:cs="宋体"/>
          <w:color w:val="auto"/>
          <w:kern w:val="0"/>
          <w:sz w:val="28"/>
          <w:szCs w:val="28"/>
        </w:rPr>
        <w:instrText xml:space="preserve"> HYPERLINK "https://baike.baidu.com/item/CSSCI/4839150?fromModule=lemma_inlink" \t "https://baike.baidu.com/item/%E6%A0%B8%E5%BF%83%E6%9C%9F%E5%88%8A/_blank" </w:instrText>
      </w:r>
      <w:r>
        <w:rPr>
          <w:rFonts w:hint="eastAsia" w:ascii="楷体" w:hAnsi="楷体" w:eastAsia="楷体" w:cs="宋体"/>
          <w:color w:val="auto"/>
          <w:kern w:val="0"/>
          <w:sz w:val="28"/>
          <w:szCs w:val="28"/>
        </w:rPr>
        <w:fldChar w:fldCharType="separate"/>
      </w:r>
      <w:r>
        <w:rPr>
          <w:rFonts w:hint="eastAsia" w:ascii="楷体" w:hAnsi="楷体" w:eastAsia="楷体" w:cs="宋体"/>
          <w:color w:val="auto"/>
          <w:kern w:val="0"/>
          <w:sz w:val="28"/>
          <w:szCs w:val="28"/>
        </w:rPr>
        <w:t>CSSCI</w:t>
      </w:r>
      <w:r>
        <w:rPr>
          <w:rFonts w:hint="eastAsia" w:ascii="楷体" w:hAnsi="楷体" w:eastAsia="楷体" w:cs="宋体"/>
          <w:color w:val="auto"/>
          <w:kern w:val="0"/>
          <w:sz w:val="28"/>
          <w:szCs w:val="28"/>
        </w:rPr>
        <w:fldChar w:fldCharType="end"/>
      </w:r>
      <w:r>
        <w:rPr>
          <w:rFonts w:hint="eastAsia" w:ascii="楷体" w:hAnsi="楷体" w:eastAsia="楷体" w:cs="宋体"/>
          <w:color w:val="auto"/>
          <w:kern w:val="0"/>
          <w:sz w:val="28"/>
          <w:szCs w:val="28"/>
        </w:rPr>
        <w:t>）来源期刊”</w:t>
      </w:r>
      <w:r>
        <w:rPr>
          <w:rFonts w:hint="eastAsia" w:ascii="楷体" w:hAnsi="楷体" w:eastAsia="楷体" w:cs="宋体"/>
          <w:color w:val="auto"/>
          <w:kern w:val="0"/>
          <w:sz w:val="28"/>
          <w:szCs w:val="28"/>
          <w:lang w:eastAsia="zh-CN"/>
        </w:rPr>
        <w:t>。</w:t>
      </w:r>
    </w:p>
    <w:p>
      <w:pPr>
        <w:widowControl/>
        <w:shd w:val="clear" w:color="auto" w:fill="FFFFFF"/>
        <w:spacing w:before="156" w:beforeLines="50" w:after="156" w:afterLines="50" w:line="240" w:lineRule="atLeast"/>
        <w:ind w:firstLine="1120" w:firstLineChars="400"/>
        <w:rPr>
          <w:rFonts w:ascii="楷体" w:hAnsi="楷体" w:eastAsia="楷体" w:cs="宋体"/>
          <w:color w:val="auto"/>
          <w:kern w:val="0"/>
          <w:sz w:val="28"/>
          <w:szCs w:val="28"/>
        </w:rPr>
      </w:pPr>
      <w:r>
        <w:rPr>
          <w:rFonts w:hint="eastAsia" w:ascii="楷体" w:hAnsi="楷体" w:eastAsia="楷体" w:cs="宋体"/>
          <w:color w:val="auto"/>
          <w:kern w:val="0"/>
          <w:sz w:val="28"/>
          <w:szCs w:val="28"/>
          <w:lang w:val="en-US" w:eastAsia="zh-CN"/>
        </w:rPr>
        <w:t>4</w:t>
      </w:r>
      <w:r>
        <w:rPr>
          <w:rFonts w:ascii="楷体" w:hAnsi="楷体" w:eastAsia="楷体" w:cs="宋体"/>
          <w:color w:val="auto"/>
          <w:kern w:val="0"/>
          <w:sz w:val="28"/>
          <w:szCs w:val="28"/>
        </w:rPr>
        <w:t>.</w:t>
      </w:r>
      <w:r>
        <w:rPr>
          <w:rFonts w:hint="eastAsia" w:ascii="楷体" w:hAnsi="楷体" w:eastAsia="楷体" w:cs="宋体"/>
          <w:color w:val="auto"/>
          <w:kern w:val="0"/>
          <w:sz w:val="28"/>
          <w:szCs w:val="28"/>
        </w:rPr>
        <w:t>关于中科院分区系统，如上级单位没有作要求，以升级版</w:t>
      </w:r>
      <w:r>
        <w:rPr>
          <w:rFonts w:hint="eastAsia" w:ascii="楷体" w:hAnsi="楷体" w:eastAsia="楷体" w:cs="宋体"/>
          <w:color w:val="auto"/>
          <w:kern w:val="0"/>
          <w:sz w:val="28"/>
          <w:szCs w:val="28"/>
          <w:lang w:eastAsia="zh-CN"/>
        </w:rPr>
        <w:t>为准</w:t>
      </w:r>
      <w:r>
        <w:rPr>
          <w:rFonts w:hint="eastAsia" w:ascii="楷体" w:hAnsi="楷体" w:eastAsia="楷体" w:cs="宋体"/>
          <w:color w:val="auto"/>
          <w:kern w:val="0"/>
          <w:sz w:val="28"/>
          <w:szCs w:val="28"/>
        </w:rPr>
        <w:t>；如上级单位有明确要求的，遵其执行。</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9）学术与科研活动成果须有相应科研实验记录和原始数据的支持。</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1</w:t>
      </w:r>
      <w:r>
        <w:rPr>
          <w:rFonts w:hint="eastAsia" w:ascii="仿宋" w:hAnsi="仿宋" w:eastAsia="仿宋" w:cs="宋体"/>
          <w:color w:val="auto"/>
          <w:kern w:val="0"/>
          <w:sz w:val="28"/>
          <w:szCs w:val="28"/>
        </w:rPr>
        <w:t>0）学术与科研活动成绩最高分为100。</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3.</w:t>
      </w:r>
      <w:r>
        <w:rPr>
          <w:rFonts w:hint="eastAsia" w:ascii="仿宋" w:hAnsi="仿宋" w:eastAsia="仿宋" w:cs="宋体"/>
          <w:color w:val="auto"/>
          <w:kern w:val="0"/>
          <w:sz w:val="28"/>
          <w:szCs w:val="28"/>
        </w:rPr>
        <w:t>社会活动</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ascii="仿宋" w:hAnsi="仿宋" w:eastAsia="仿宋" w:cs="宋体"/>
          <w:color w:val="auto"/>
          <w:kern w:val="0"/>
          <w:sz w:val="28"/>
          <w:szCs w:val="28"/>
        </w:rPr>
        <w:t>社会活动的计分按照《</w:t>
      </w:r>
      <w:r>
        <w:rPr>
          <w:rFonts w:hint="eastAsia" w:ascii="仿宋" w:hAnsi="仿宋" w:eastAsia="仿宋" w:cs="宋体"/>
          <w:color w:val="auto"/>
          <w:kern w:val="0"/>
          <w:sz w:val="28"/>
          <w:szCs w:val="28"/>
        </w:rPr>
        <w:t>苏州大学苏州医学院公共卫生学院研究生社会服务工作管理条例</w:t>
      </w:r>
      <w:r>
        <w:rPr>
          <w:rFonts w:ascii="仿宋" w:hAnsi="仿宋" w:eastAsia="仿宋" w:cs="宋体"/>
          <w:color w:val="auto"/>
          <w:kern w:val="0"/>
          <w:sz w:val="28"/>
          <w:szCs w:val="28"/>
        </w:rPr>
        <w:t>》规定执行</w:t>
      </w:r>
      <w:r>
        <w:rPr>
          <w:rFonts w:hint="eastAsia" w:ascii="仿宋" w:hAnsi="仿宋" w:eastAsia="仿宋" w:cs="宋体"/>
          <w:color w:val="auto"/>
          <w:kern w:val="0"/>
          <w:sz w:val="28"/>
          <w:szCs w:val="28"/>
        </w:rPr>
        <w:t>。</w:t>
      </w:r>
      <w:r>
        <w:rPr>
          <w:rFonts w:ascii="仿宋" w:hAnsi="仿宋" w:eastAsia="仿宋" w:cs="宋体"/>
          <w:color w:val="auto"/>
          <w:kern w:val="0"/>
          <w:sz w:val="28"/>
          <w:szCs w:val="28"/>
        </w:rPr>
        <w:t>有出国或到校外实践的情况按</w:t>
      </w:r>
      <w:r>
        <w:rPr>
          <w:rFonts w:hint="eastAsia" w:ascii="仿宋" w:hAnsi="仿宋" w:eastAsia="仿宋" w:cs="宋体"/>
          <w:color w:val="auto"/>
          <w:kern w:val="0"/>
          <w:sz w:val="28"/>
          <w:szCs w:val="28"/>
        </w:rPr>
        <w:t>上述条例中相关规定计算社会服务得分。连续出国或外出实习一个</w:t>
      </w:r>
      <w:r>
        <w:rPr>
          <w:rFonts w:ascii="仿宋" w:hAnsi="仿宋" w:eastAsia="仿宋" w:cs="宋体"/>
          <w:color w:val="auto"/>
          <w:kern w:val="0"/>
          <w:sz w:val="28"/>
          <w:szCs w:val="28"/>
        </w:rPr>
        <w:t>月以上方可</w:t>
      </w:r>
      <w:r>
        <w:rPr>
          <w:rFonts w:hint="eastAsia" w:ascii="仿宋" w:hAnsi="仿宋" w:eastAsia="仿宋" w:cs="宋体"/>
          <w:color w:val="auto"/>
          <w:kern w:val="0"/>
          <w:sz w:val="28"/>
          <w:szCs w:val="28"/>
        </w:rPr>
        <w:t>符合平均分使用要求</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学院社会服务分最高分1</w:t>
      </w:r>
      <w:r>
        <w:rPr>
          <w:rFonts w:ascii="仿宋" w:hAnsi="仿宋" w:eastAsia="仿宋" w:cs="宋体"/>
          <w:color w:val="auto"/>
          <w:kern w:val="0"/>
          <w:sz w:val="28"/>
          <w:szCs w:val="28"/>
        </w:rPr>
        <w:t>0</w:t>
      </w:r>
      <w:r>
        <w:rPr>
          <w:rFonts w:hint="eastAsia" w:ascii="仿宋" w:hAnsi="仿宋" w:eastAsia="仿宋" w:cs="宋体"/>
          <w:color w:val="auto"/>
          <w:kern w:val="0"/>
          <w:sz w:val="28"/>
          <w:szCs w:val="28"/>
        </w:rPr>
        <w:t>分，在评奖中计入综合测评分的个人社会活动成绩得分=学院社会服务分×8。</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学生需参加学院安排的讲座、会议等活动。根据人数要求自愿报名，剩余人数由低年级到高年级同学按学号顺序安排补足，优先安排低年级同学参加。学院安排的讲座、会议等活动拒不参加者，扣除相应学院社会服务分，具体按照《苏州大学苏州医学院公共卫生学院研究生社会服务工作管理条例》中规定执行。</w:t>
      </w:r>
    </w:p>
    <w:p>
      <w:pPr>
        <w:widowControl/>
        <w:shd w:val="clear" w:color="auto" w:fill="FFFFFF"/>
        <w:spacing w:before="156" w:beforeLines="50" w:after="156" w:afterLines="50" w:line="240" w:lineRule="atLeast"/>
        <w:ind w:left="567"/>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评委打分</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评委打分满分为</w:t>
      </w:r>
      <w:r>
        <w:rPr>
          <w:rFonts w:ascii="仿宋" w:hAnsi="仿宋" w:eastAsia="仿宋" w:cs="宋体"/>
          <w:color w:val="auto"/>
          <w:kern w:val="0"/>
          <w:sz w:val="28"/>
          <w:szCs w:val="28"/>
        </w:rPr>
        <w:t>100</w:t>
      </w:r>
      <w:r>
        <w:rPr>
          <w:rFonts w:hint="eastAsia" w:ascii="仿宋" w:hAnsi="仿宋" w:eastAsia="仿宋" w:cs="宋体"/>
          <w:color w:val="auto"/>
          <w:kern w:val="0"/>
          <w:sz w:val="28"/>
          <w:szCs w:val="28"/>
        </w:rPr>
        <w:t>。相应比例归并到学术与科研活动成绩中。</w:t>
      </w:r>
      <w:r>
        <w:rPr>
          <w:rFonts w:ascii="仿宋" w:hAnsi="仿宋" w:eastAsia="仿宋" w:cs="宋体"/>
          <w:color w:val="auto"/>
          <w:kern w:val="0"/>
          <w:sz w:val="28"/>
          <w:szCs w:val="28"/>
        </w:rPr>
        <w:t xml:space="preserve"> </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对于研究生二、三年级，</w:t>
      </w:r>
      <w:bookmarkStart w:id="2" w:name="_Hlk87349883"/>
      <w:r>
        <w:rPr>
          <w:rFonts w:hint="eastAsia" w:ascii="仿宋" w:hAnsi="仿宋" w:eastAsia="仿宋" w:cs="宋体"/>
          <w:color w:val="auto"/>
          <w:kern w:val="0"/>
          <w:sz w:val="28"/>
          <w:szCs w:val="28"/>
        </w:rPr>
        <w:t>实际综合测评分的计算如下：</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综合测评分 = 课程成绩×10% + 学术与科研活动成绩×</w:t>
      </w:r>
      <w:r>
        <w:rPr>
          <w:rFonts w:ascii="仿宋" w:hAnsi="仿宋" w:eastAsia="仿宋" w:cs="宋体"/>
          <w:color w:val="auto"/>
          <w:kern w:val="0"/>
          <w:sz w:val="28"/>
          <w:szCs w:val="28"/>
        </w:rPr>
        <w:t>8</w:t>
      </w:r>
      <w:r>
        <w:rPr>
          <w:rFonts w:hint="eastAsia" w:ascii="仿宋" w:hAnsi="仿宋" w:eastAsia="仿宋" w:cs="宋体"/>
          <w:color w:val="auto"/>
          <w:kern w:val="0"/>
          <w:sz w:val="28"/>
          <w:szCs w:val="28"/>
        </w:rPr>
        <w:t>0% + 社会活动成绩×10% 。</w:t>
      </w:r>
    </w:p>
    <w:bookmarkEnd w:id="2"/>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p>
    <w:p>
      <w:pPr>
        <w:pStyle w:val="4"/>
        <w:spacing w:before="156" w:beforeLines="50" w:after="156" w:afterLines="50" w:line="240" w:lineRule="atLeast"/>
        <w:rPr>
          <w:color w:val="auto"/>
          <w:szCs w:val="28"/>
        </w:rPr>
      </w:pPr>
      <w:r>
        <w:rPr>
          <w:rFonts w:hint="eastAsia"/>
          <w:color w:val="auto"/>
          <w:szCs w:val="28"/>
        </w:rPr>
        <w:t>第八条 上报材料</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拟申请同学根据本班级负责人通知，上交相应评审</w:t>
      </w:r>
      <w:r>
        <w:rPr>
          <w:rFonts w:ascii="仿宋" w:hAnsi="仿宋" w:eastAsia="仿宋" w:cs="宋体"/>
          <w:color w:val="auto"/>
          <w:kern w:val="0"/>
          <w:sz w:val="28"/>
          <w:szCs w:val="28"/>
        </w:rPr>
        <w:t>及</w:t>
      </w:r>
      <w:r>
        <w:rPr>
          <w:rFonts w:hint="eastAsia" w:ascii="仿宋" w:hAnsi="仿宋" w:eastAsia="仿宋" w:cs="宋体"/>
          <w:color w:val="auto"/>
          <w:kern w:val="0"/>
          <w:sz w:val="28"/>
          <w:szCs w:val="28"/>
        </w:rPr>
        <w:t>证明材料（包括课程成绩、学术与科研活动、社会活动）。</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ascii="仿宋" w:hAnsi="仿宋" w:eastAsia="仿宋" w:cs="宋体"/>
          <w:color w:val="auto"/>
          <w:kern w:val="0"/>
          <w:sz w:val="28"/>
          <w:szCs w:val="28"/>
        </w:rPr>
        <w:t>.</w:t>
      </w:r>
      <w:r>
        <w:rPr>
          <w:rFonts w:hint="eastAsia" w:ascii="仿宋" w:hAnsi="仿宋" w:eastAsia="仿宋" w:cs="宋体"/>
          <w:color w:val="auto"/>
          <w:kern w:val="0"/>
          <w:sz w:val="28"/>
          <w:szCs w:val="28"/>
        </w:rPr>
        <w:t xml:space="preserve"> ①《苏州大学研究生学业奖学金申请表》</w:t>
      </w:r>
      <w:r>
        <w:rPr>
          <w:rFonts w:ascii="仿宋" w:hAnsi="仿宋" w:eastAsia="仿宋" w:cs="宋体"/>
          <w:color w:val="auto"/>
          <w:kern w:val="0"/>
          <w:sz w:val="28"/>
          <w:szCs w:val="28"/>
        </w:rPr>
        <w:t>一式</w:t>
      </w:r>
      <w:r>
        <w:rPr>
          <w:rFonts w:hint="eastAsia" w:ascii="仿宋" w:hAnsi="仿宋" w:eastAsia="仿宋" w:cs="宋体"/>
          <w:color w:val="auto"/>
          <w:kern w:val="0"/>
          <w:sz w:val="28"/>
          <w:szCs w:val="28"/>
        </w:rPr>
        <w:t>两</w:t>
      </w:r>
      <w:r>
        <w:rPr>
          <w:rFonts w:ascii="仿宋" w:hAnsi="仿宋" w:eastAsia="仿宋" w:cs="宋体"/>
          <w:color w:val="auto"/>
          <w:kern w:val="0"/>
          <w:sz w:val="28"/>
          <w:szCs w:val="28"/>
        </w:rPr>
        <w:t>份，务必双面打印；②科研成果和获奖证书复印件一</w:t>
      </w:r>
      <w:r>
        <w:rPr>
          <w:rFonts w:hint="eastAsia" w:ascii="仿宋" w:hAnsi="仿宋" w:eastAsia="仿宋" w:cs="宋体"/>
          <w:color w:val="auto"/>
          <w:kern w:val="0"/>
          <w:sz w:val="28"/>
          <w:szCs w:val="28"/>
        </w:rPr>
        <w:t>份。</w:t>
      </w:r>
      <w:r>
        <w:rPr>
          <w:rFonts w:ascii="仿宋" w:hAnsi="仿宋" w:eastAsia="仿宋" w:cs="宋体"/>
          <w:color w:val="auto"/>
          <w:kern w:val="0"/>
          <w:sz w:val="28"/>
          <w:szCs w:val="28"/>
        </w:rPr>
        <w:t>③</w:t>
      </w:r>
      <w:r>
        <w:rPr>
          <w:rFonts w:hint="eastAsia" w:ascii="仿宋" w:hAnsi="仿宋" w:eastAsia="仿宋" w:cs="宋体"/>
          <w:color w:val="auto"/>
          <w:kern w:val="0"/>
          <w:sz w:val="28"/>
          <w:szCs w:val="28"/>
        </w:rPr>
        <w:t>《苏州大学</w:t>
      </w:r>
      <w:r>
        <w:rPr>
          <w:rFonts w:ascii="仿宋" w:hAnsi="仿宋" w:eastAsia="仿宋" w:cs="宋体"/>
          <w:color w:val="auto"/>
          <w:kern w:val="0"/>
          <w:sz w:val="28"/>
          <w:szCs w:val="28"/>
        </w:rPr>
        <w:t>研究生学业奖学金获奖名单信息汇总表》</w:t>
      </w:r>
      <w:r>
        <w:rPr>
          <w:rFonts w:hint="eastAsia" w:ascii="仿宋" w:hAnsi="仿宋" w:eastAsia="仿宋" w:cs="宋体"/>
          <w:color w:val="auto"/>
          <w:kern w:val="0"/>
          <w:sz w:val="28"/>
          <w:szCs w:val="28"/>
        </w:rPr>
        <w:t>。</w:t>
      </w:r>
    </w:p>
    <w:p>
      <w:pPr>
        <w:pStyle w:val="2"/>
        <w:spacing w:before="156" w:beforeLines="50" w:after="156" w:afterLines="50" w:line="240" w:lineRule="atLeast"/>
        <w:jc w:val="center"/>
        <w:rPr>
          <w:color w:val="auto"/>
          <w:sz w:val="28"/>
          <w:szCs w:val="28"/>
        </w:rPr>
      </w:pPr>
      <w:r>
        <w:rPr>
          <w:rFonts w:hint="eastAsia"/>
          <w:color w:val="auto"/>
          <w:sz w:val="28"/>
          <w:szCs w:val="28"/>
        </w:rPr>
        <w:t>第四章 附则</w:t>
      </w:r>
    </w:p>
    <w:p>
      <w:pPr>
        <w:pStyle w:val="4"/>
        <w:spacing w:before="156" w:beforeLines="50" w:after="156" w:afterLines="50" w:line="240" w:lineRule="atLeast"/>
        <w:rPr>
          <w:color w:val="auto"/>
          <w:szCs w:val="28"/>
        </w:rPr>
      </w:pPr>
      <w:r>
        <w:rPr>
          <w:rFonts w:hint="eastAsia"/>
          <w:color w:val="auto"/>
          <w:szCs w:val="28"/>
        </w:rPr>
        <w:t>第九条 执行与</w:t>
      </w:r>
      <w:r>
        <w:rPr>
          <w:color w:val="auto"/>
          <w:szCs w:val="28"/>
        </w:rPr>
        <w:t>废止</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本评定大纲自</w:t>
      </w:r>
      <w:r>
        <w:rPr>
          <w:rFonts w:ascii="仿宋" w:hAnsi="仿宋" w:eastAsia="仿宋" w:cs="宋体"/>
          <w:color w:val="auto"/>
          <w:kern w:val="0"/>
          <w:sz w:val="28"/>
          <w:szCs w:val="28"/>
        </w:rPr>
        <w:t>202</w:t>
      </w:r>
      <w:r>
        <w:rPr>
          <w:rFonts w:hint="eastAsia" w:ascii="仿宋" w:hAnsi="仿宋" w:eastAsia="仿宋" w:cs="宋体"/>
          <w:color w:val="auto"/>
          <w:kern w:val="0"/>
          <w:sz w:val="28"/>
          <w:szCs w:val="28"/>
          <w:lang w:val="en-US" w:eastAsia="zh-CN"/>
        </w:rPr>
        <w:t>3</w:t>
      </w:r>
      <w:r>
        <w:rPr>
          <w:rFonts w:ascii="仿宋" w:hAnsi="仿宋" w:eastAsia="仿宋" w:cs="宋体"/>
          <w:color w:val="auto"/>
          <w:kern w:val="0"/>
          <w:sz w:val="28"/>
          <w:szCs w:val="28"/>
        </w:rPr>
        <w:t>年</w:t>
      </w:r>
      <w:r>
        <w:rPr>
          <w:rFonts w:hint="eastAsia" w:ascii="仿宋" w:hAnsi="仿宋" w:eastAsia="仿宋" w:cs="宋体"/>
          <w:color w:val="auto"/>
          <w:kern w:val="0"/>
          <w:sz w:val="28"/>
          <w:szCs w:val="28"/>
          <w:lang w:val="en-US" w:eastAsia="zh-CN"/>
        </w:rPr>
        <w:t>9</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28</w:t>
      </w:r>
      <w:r>
        <w:rPr>
          <w:rFonts w:hint="eastAsia" w:ascii="仿宋" w:hAnsi="仿宋" w:eastAsia="仿宋" w:cs="宋体"/>
          <w:color w:val="auto"/>
          <w:kern w:val="0"/>
          <w:sz w:val="28"/>
          <w:szCs w:val="28"/>
        </w:rPr>
        <w:t>日开始实施，</w:t>
      </w:r>
      <w:r>
        <w:rPr>
          <w:rFonts w:ascii="仿宋" w:hAnsi="仿宋" w:eastAsia="仿宋" w:cs="宋体"/>
          <w:color w:val="auto"/>
          <w:kern w:val="0"/>
          <w:sz w:val="28"/>
          <w:szCs w:val="28"/>
        </w:rPr>
        <w:t>原</w:t>
      </w:r>
      <w:r>
        <w:rPr>
          <w:rFonts w:hint="eastAsia" w:ascii="仿宋" w:hAnsi="仿宋" w:eastAsia="仿宋" w:cs="宋体"/>
          <w:color w:val="auto"/>
          <w:kern w:val="0"/>
          <w:sz w:val="28"/>
          <w:szCs w:val="28"/>
        </w:rPr>
        <w:t>学院学业奖学金</w:t>
      </w:r>
      <w:r>
        <w:rPr>
          <w:rFonts w:ascii="仿宋" w:hAnsi="仿宋" w:eastAsia="仿宋" w:cs="宋体"/>
          <w:color w:val="auto"/>
          <w:kern w:val="0"/>
          <w:sz w:val="28"/>
          <w:szCs w:val="28"/>
        </w:rPr>
        <w:t>相应</w:t>
      </w:r>
      <w:r>
        <w:rPr>
          <w:rFonts w:hint="eastAsia" w:ascii="仿宋" w:hAnsi="仿宋" w:eastAsia="仿宋" w:cs="宋体"/>
          <w:color w:val="auto"/>
          <w:kern w:val="0"/>
          <w:sz w:val="28"/>
          <w:szCs w:val="28"/>
        </w:rPr>
        <w:t>评定</w:t>
      </w:r>
      <w:r>
        <w:rPr>
          <w:rFonts w:ascii="仿宋" w:hAnsi="仿宋" w:eastAsia="仿宋" w:cs="宋体"/>
          <w:color w:val="auto"/>
          <w:kern w:val="0"/>
          <w:sz w:val="28"/>
          <w:szCs w:val="28"/>
        </w:rPr>
        <w:t>细则</w:t>
      </w:r>
      <w:r>
        <w:rPr>
          <w:rFonts w:hint="eastAsia" w:ascii="仿宋" w:hAnsi="仿宋" w:eastAsia="仿宋" w:cs="宋体"/>
          <w:color w:val="auto"/>
          <w:kern w:val="0"/>
          <w:sz w:val="28"/>
          <w:szCs w:val="28"/>
        </w:rPr>
        <w:t>同时</w:t>
      </w:r>
      <w:r>
        <w:rPr>
          <w:rFonts w:ascii="仿宋" w:hAnsi="仿宋" w:eastAsia="仿宋" w:cs="宋体"/>
          <w:color w:val="auto"/>
          <w:kern w:val="0"/>
          <w:sz w:val="28"/>
          <w:szCs w:val="28"/>
        </w:rPr>
        <w:t>废止。</w:t>
      </w:r>
    </w:p>
    <w:p>
      <w:pPr>
        <w:pStyle w:val="4"/>
        <w:spacing w:before="156" w:beforeLines="50" w:after="156" w:afterLines="50" w:line="240" w:lineRule="atLeast"/>
        <w:rPr>
          <w:color w:val="auto"/>
          <w:szCs w:val="28"/>
        </w:rPr>
      </w:pPr>
      <w:r>
        <w:rPr>
          <w:rFonts w:hint="eastAsia"/>
          <w:color w:val="auto"/>
          <w:szCs w:val="28"/>
        </w:rPr>
        <w:t>第十条</w:t>
      </w:r>
      <w:r>
        <w:rPr>
          <w:color w:val="auto"/>
          <w:szCs w:val="28"/>
        </w:rPr>
        <w:t xml:space="preserve"> </w:t>
      </w:r>
      <w:r>
        <w:rPr>
          <w:rFonts w:hint="eastAsia"/>
          <w:color w:val="auto"/>
          <w:szCs w:val="28"/>
        </w:rPr>
        <w:t>解释</w:t>
      </w:r>
    </w:p>
    <w:p>
      <w:pPr>
        <w:widowControl/>
        <w:shd w:val="clear" w:color="auto" w:fill="FFFFFF"/>
        <w:spacing w:before="156" w:beforeLines="50" w:after="156" w:afterLines="50" w:line="240" w:lineRule="atLeas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本评定大纲由苏州大学苏州医学院公共卫生学院学生工作办公室负责解释。</w:t>
      </w:r>
    </w:p>
    <w:p>
      <w:pPr>
        <w:spacing w:before="156" w:beforeLines="50" w:after="156" w:afterLines="50" w:line="240" w:lineRule="atLeast"/>
        <w:rPr>
          <w:rFonts w:hint="eastAsia"/>
          <w:color w:val="auto"/>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75A55"/>
    <w:multiLevelType w:val="multilevel"/>
    <w:tmpl w:val="37975A55"/>
    <w:lvl w:ilvl="0" w:tentative="0">
      <w:start w:val="1"/>
      <w:numFmt w:val="japaneseCounting"/>
      <w:lvlText w:val="（%1）"/>
      <w:lvlJc w:val="left"/>
      <w:pPr>
        <w:ind w:left="1388" w:hanging="828"/>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NjYxYWVhZWNkNzkzZmNlYzYyOGVjZTJmY2I3Y2QifQ=="/>
  </w:docVars>
  <w:rsids>
    <w:rsidRoot w:val="00D0562F"/>
    <w:rsid w:val="00023D9F"/>
    <w:rsid w:val="00074040"/>
    <w:rsid w:val="000C2E21"/>
    <w:rsid w:val="000E6311"/>
    <w:rsid w:val="000E6F37"/>
    <w:rsid w:val="00127E62"/>
    <w:rsid w:val="00155869"/>
    <w:rsid w:val="00164200"/>
    <w:rsid w:val="00167476"/>
    <w:rsid w:val="00187958"/>
    <w:rsid w:val="001A44C8"/>
    <w:rsid w:val="001D433D"/>
    <w:rsid w:val="0021027A"/>
    <w:rsid w:val="0026205B"/>
    <w:rsid w:val="002933E8"/>
    <w:rsid w:val="00295A1B"/>
    <w:rsid w:val="00295D0C"/>
    <w:rsid w:val="002A2970"/>
    <w:rsid w:val="002A5BA7"/>
    <w:rsid w:val="002A6864"/>
    <w:rsid w:val="002E13B8"/>
    <w:rsid w:val="002F0D4C"/>
    <w:rsid w:val="002F1D9C"/>
    <w:rsid w:val="0032597A"/>
    <w:rsid w:val="00342F50"/>
    <w:rsid w:val="00376241"/>
    <w:rsid w:val="003D515C"/>
    <w:rsid w:val="003E71D0"/>
    <w:rsid w:val="004122E7"/>
    <w:rsid w:val="00417107"/>
    <w:rsid w:val="00442638"/>
    <w:rsid w:val="00445EDA"/>
    <w:rsid w:val="004564D9"/>
    <w:rsid w:val="00461AF3"/>
    <w:rsid w:val="00467D57"/>
    <w:rsid w:val="004844DB"/>
    <w:rsid w:val="004A0A4F"/>
    <w:rsid w:val="004A2CC7"/>
    <w:rsid w:val="004A3EFE"/>
    <w:rsid w:val="004C0F53"/>
    <w:rsid w:val="004D7DF1"/>
    <w:rsid w:val="004E15B5"/>
    <w:rsid w:val="005259D0"/>
    <w:rsid w:val="00532153"/>
    <w:rsid w:val="00551763"/>
    <w:rsid w:val="00554C2F"/>
    <w:rsid w:val="0056309D"/>
    <w:rsid w:val="005905A2"/>
    <w:rsid w:val="005C4327"/>
    <w:rsid w:val="005F475B"/>
    <w:rsid w:val="00600F2A"/>
    <w:rsid w:val="00667F42"/>
    <w:rsid w:val="00671F74"/>
    <w:rsid w:val="0068411F"/>
    <w:rsid w:val="00684994"/>
    <w:rsid w:val="00692B07"/>
    <w:rsid w:val="006A59E7"/>
    <w:rsid w:val="006A6803"/>
    <w:rsid w:val="006A7BF9"/>
    <w:rsid w:val="006D58A2"/>
    <w:rsid w:val="006E044F"/>
    <w:rsid w:val="00717F7C"/>
    <w:rsid w:val="00770E95"/>
    <w:rsid w:val="00771051"/>
    <w:rsid w:val="007A38EE"/>
    <w:rsid w:val="007C3C67"/>
    <w:rsid w:val="007E5069"/>
    <w:rsid w:val="00816C55"/>
    <w:rsid w:val="008340BC"/>
    <w:rsid w:val="00853407"/>
    <w:rsid w:val="00877E67"/>
    <w:rsid w:val="008A0F01"/>
    <w:rsid w:val="008A1DEA"/>
    <w:rsid w:val="008A5F5B"/>
    <w:rsid w:val="008A6208"/>
    <w:rsid w:val="008B19C2"/>
    <w:rsid w:val="008F60D1"/>
    <w:rsid w:val="00902E59"/>
    <w:rsid w:val="0090578A"/>
    <w:rsid w:val="0091295E"/>
    <w:rsid w:val="00917C36"/>
    <w:rsid w:val="009A3D36"/>
    <w:rsid w:val="009B2739"/>
    <w:rsid w:val="009C6D2E"/>
    <w:rsid w:val="009D0BC3"/>
    <w:rsid w:val="009D3661"/>
    <w:rsid w:val="009D5956"/>
    <w:rsid w:val="00A211CC"/>
    <w:rsid w:val="00A7031C"/>
    <w:rsid w:val="00A77231"/>
    <w:rsid w:val="00A85577"/>
    <w:rsid w:val="00AC47D1"/>
    <w:rsid w:val="00AF4B64"/>
    <w:rsid w:val="00AF5E99"/>
    <w:rsid w:val="00B0330F"/>
    <w:rsid w:val="00B433BB"/>
    <w:rsid w:val="00B725E3"/>
    <w:rsid w:val="00B90E9F"/>
    <w:rsid w:val="00B97321"/>
    <w:rsid w:val="00B97441"/>
    <w:rsid w:val="00BA6103"/>
    <w:rsid w:val="00BC44BE"/>
    <w:rsid w:val="00BD4FDF"/>
    <w:rsid w:val="00BD74A7"/>
    <w:rsid w:val="00BE5719"/>
    <w:rsid w:val="00BF7952"/>
    <w:rsid w:val="00C26298"/>
    <w:rsid w:val="00C27CD7"/>
    <w:rsid w:val="00C3504A"/>
    <w:rsid w:val="00C6472A"/>
    <w:rsid w:val="00C73385"/>
    <w:rsid w:val="00C77275"/>
    <w:rsid w:val="00C80D49"/>
    <w:rsid w:val="00C82440"/>
    <w:rsid w:val="00C82FE4"/>
    <w:rsid w:val="00CA520B"/>
    <w:rsid w:val="00CC712B"/>
    <w:rsid w:val="00CD0D07"/>
    <w:rsid w:val="00D0562F"/>
    <w:rsid w:val="00D269F2"/>
    <w:rsid w:val="00D55BCB"/>
    <w:rsid w:val="00D55D1C"/>
    <w:rsid w:val="00D87251"/>
    <w:rsid w:val="00DD3AAB"/>
    <w:rsid w:val="00DE31BF"/>
    <w:rsid w:val="00DE6527"/>
    <w:rsid w:val="00DF0CD5"/>
    <w:rsid w:val="00E22379"/>
    <w:rsid w:val="00E9007A"/>
    <w:rsid w:val="00EA5D56"/>
    <w:rsid w:val="00EC21B8"/>
    <w:rsid w:val="00EC4ED0"/>
    <w:rsid w:val="00ED5B31"/>
    <w:rsid w:val="00F02D97"/>
    <w:rsid w:val="00F1722C"/>
    <w:rsid w:val="00F34B70"/>
    <w:rsid w:val="00F50BC1"/>
    <w:rsid w:val="00F84877"/>
    <w:rsid w:val="00F8507D"/>
    <w:rsid w:val="00F968E6"/>
    <w:rsid w:val="00FC223E"/>
    <w:rsid w:val="00FC5547"/>
    <w:rsid w:val="06590677"/>
    <w:rsid w:val="07413423"/>
    <w:rsid w:val="07856201"/>
    <w:rsid w:val="21E87708"/>
    <w:rsid w:val="24464705"/>
    <w:rsid w:val="2B027ED1"/>
    <w:rsid w:val="382E0D6A"/>
    <w:rsid w:val="3AC52E67"/>
    <w:rsid w:val="6B0B1395"/>
    <w:rsid w:val="78F0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9"/>
    <w:unhideWhenUsed/>
    <w:qFormat/>
    <w:uiPriority w:val="9"/>
    <w:pPr>
      <w:keepNext/>
      <w:keepLines/>
      <w:spacing w:line="580" w:lineRule="exact"/>
      <w:outlineLvl w:val="2"/>
    </w:pPr>
    <w:rPr>
      <w:rFonts w:eastAsia="仿宋"/>
      <w:b/>
      <w:bCs/>
      <w:sz w:val="28"/>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semiHidden/>
    <w:unhideWhenUsed/>
    <w:qFormat/>
    <w:uiPriority w:val="99"/>
    <w:pPr>
      <w:jc w:val="left"/>
    </w:pPr>
  </w:style>
  <w:style w:type="paragraph" w:styleId="7">
    <w:name w:val="Body Text"/>
    <w:basedOn w:val="1"/>
    <w:link w:val="21"/>
    <w:qFormat/>
    <w:uiPriority w:val="1"/>
    <w:pPr>
      <w:ind w:left="120"/>
      <w:jc w:val="left"/>
    </w:pPr>
    <w:rPr>
      <w:rFonts w:ascii="宋体" w:hAnsi="宋体" w:eastAsia="宋体"/>
      <w:sz w:val="24"/>
      <w:lang w:val="zh-CN" w:eastAsia="en-US"/>
    </w:rPr>
  </w:style>
  <w:style w:type="paragraph" w:styleId="8">
    <w:name w:val="Balloon Text"/>
    <w:basedOn w:val="1"/>
    <w:link w:val="24"/>
    <w:semiHidden/>
    <w:unhideWhenUsed/>
    <w:qFormat/>
    <w:uiPriority w:val="99"/>
    <w:rPr>
      <w:sz w:val="18"/>
      <w:szCs w:val="18"/>
    </w:rPr>
  </w:style>
  <w:style w:type="paragraph" w:styleId="9">
    <w:name w:val="footer"/>
    <w:basedOn w:val="1"/>
    <w:link w:val="16"/>
    <w:unhideWhenUsed/>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10"/>
    <w:qFormat/>
    <w:uiPriority w:val="99"/>
    <w:rPr>
      <w:sz w:val="18"/>
      <w:szCs w:val="18"/>
    </w:rPr>
  </w:style>
  <w:style w:type="character" w:customStyle="1" w:styleId="16">
    <w:name w:val="页脚 字符"/>
    <w:basedOn w:val="13"/>
    <w:link w:val="9"/>
    <w:qFormat/>
    <w:uiPriority w:val="99"/>
    <w:rPr>
      <w:sz w:val="18"/>
      <w:szCs w:val="18"/>
    </w:rPr>
  </w:style>
  <w:style w:type="character" w:customStyle="1" w:styleId="17">
    <w:name w:val="标题 1 字符"/>
    <w:basedOn w:val="13"/>
    <w:link w:val="2"/>
    <w:qFormat/>
    <w:uiPriority w:val="9"/>
    <w:rPr>
      <w:b/>
      <w:bCs/>
      <w:kern w:val="44"/>
      <w:sz w:val="44"/>
      <w:szCs w:val="44"/>
    </w:rPr>
  </w:style>
  <w:style w:type="character" w:customStyle="1" w:styleId="18">
    <w:name w:val="标题 2 字符"/>
    <w:basedOn w:val="13"/>
    <w:link w:val="3"/>
    <w:qFormat/>
    <w:uiPriority w:val="9"/>
    <w:rPr>
      <w:rFonts w:eastAsia="宋体" w:asciiTheme="majorHAnsi" w:hAnsiTheme="majorHAnsi" w:cstheme="majorBidi"/>
      <w:b/>
      <w:bCs/>
      <w:sz w:val="32"/>
      <w:szCs w:val="32"/>
    </w:rPr>
  </w:style>
  <w:style w:type="character" w:customStyle="1" w:styleId="19">
    <w:name w:val="标题 3 字符"/>
    <w:basedOn w:val="13"/>
    <w:link w:val="4"/>
    <w:qFormat/>
    <w:uiPriority w:val="9"/>
    <w:rPr>
      <w:rFonts w:eastAsia="仿宋"/>
      <w:b/>
      <w:bCs/>
      <w:sz w:val="28"/>
      <w:szCs w:val="32"/>
    </w:rPr>
  </w:style>
  <w:style w:type="character" w:customStyle="1" w:styleId="20">
    <w:name w:val="标题 4 字符"/>
    <w:basedOn w:val="13"/>
    <w:link w:val="5"/>
    <w:qFormat/>
    <w:uiPriority w:val="9"/>
    <w:rPr>
      <w:rFonts w:asciiTheme="majorHAnsi" w:hAnsiTheme="majorHAnsi" w:eastAsiaTheme="majorEastAsia" w:cstheme="majorBidi"/>
      <w:b/>
      <w:bCs/>
      <w:sz w:val="28"/>
      <w:szCs w:val="28"/>
    </w:rPr>
  </w:style>
  <w:style w:type="character" w:customStyle="1" w:styleId="21">
    <w:name w:val="正文文本 字符"/>
    <w:basedOn w:val="13"/>
    <w:link w:val="7"/>
    <w:qFormat/>
    <w:uiPriority w:val="1"/>
    <w:rPr>
      <w:rFonts w:ascii="宋体" w:hAnsi="宋体" w:eastAsia="宋体"/>
      <w:sz w:val="24"/>
      <w:lang w:val="zh-CN" w:eastAsia="en-US"/>
    </w:rPr>
  </w:style>
  <w:style w:type="paragraph" w:styleId="22">
    <w:name w:val="List Paragraph"/>
    <w:basedOn w:val="1"/>
    <w:qFormat/>
    <w:uiPriority w:val="34"/>
    <w:pPr>
      <w:ind w:firstLine="420" w:firstLineChars="200"/>
    </w:pPr>
  </w:style>
  <w:style w:type="character" w:customStyle="1" w:styleId="23">
    <w:name w:val="批注文字 字符"/>
    <w:basedOn w:val="13"/>
    <w:link w:val="6"/>
    <w:semiHidden/>
    <w:qFormat/>
    <w:uiPriority w:val="99"/>
  </w:style>
  <w:style w:type="character" w:customStyle="1" w:styleId="24">
    <w:name w:val="批注框文本 字符"/>
    <w:basedOn w:val="13"/>
    <w:link w:val="8"/>
    <w:semiHidden/>
    <w:qFormat/>
    <w:uiPriority w:val="99"/>
    <w:rPr>
      <w:sz w:val="18"/>
      <w:szCs w:val="18"/>
    </w:rPr>
  </w:style>
  <w:style w:type="character" w:styleId="25">
    <w:name w:val="Placeholder Text"/>
    <w:basedOn w:val="13"/>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4347</Words>
  <Characters>4565</Characters>
  <Lines>31</Lines>
  <Paragraphs>9</Paragraphs>
  <TotalTime>9</TotalTime>
  <ScaleCrop>false</ScaleCrop>
  <LinksUpToDate>false</LinksUpToDate>
  <CharactersWithSpaces>4636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2021-05-11T08:07:00Z</dcterms:created>
  <dc:creator>lenovo</dc:creator>
  <cp:lastModifiedBy>John Hugo</cp:lastModifiedBy>
  <cp:lastPrinted>2023-09-28T01:39:56Z</cp:lastPrinted>
  <dcterms:modified xsi:type="dcterms:W3CDTF">2023-09-28T01:40:52Z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477B0C1AEDC1496EAEBCEDA6F7B5A40A_12</vt:lpwstr>
  </property>
</Properties>
</file>