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仿宋" w:hAnsi="仿宋" w:eastAsia="仿宋"/>
          <w:bCs/>
          <w:sz w:val="44"/>
          <w:szCs w:val="32"/>
        </w:rPr>
      </w:pPr>
      <w:r>
        <w:rPr>
          <w:rFonts w:hint="eastAsia" w:ascii="仿宋" w:hAnsi="仿宋" w:eastAsia="仿宋"/>
          <w:bCs/>
          <w:sz w:val="44"/>
          <w:szCs w:val="32"/>
        </w:rPr>
        <w:t>苏州大学苏州医学院公共卫生学院</w:t>
      </w:r>
      <w:bookmarkStart w:id="0" w:name="_Hlk66369703"/>
      <w:r>
        <w:rPr>
          <w:rFonts w:hint="eastAsia" w:ascii="仿宋" w:hAnsi="仿宋" w:eastAsia="仿宋"/>
          <w:bCs/>
          <w:sz w:val="44"/>
          <w:szCs w:val="32"/>
        </w:rPr>
        <w:t>研究生捐赠奖（助）学金</w:t>
      </w:r>
      <w:bookmarkEnd w:id="0"/>
      <w:r>
        <w:rPr>
          <w:rFonts w:hint="eastAsia" w:ascii="仿宋" w:hAnsi="仿宋" w:eastAsia="仿宋"/>
          <w:bCs/>
          <w:sz w:val="44"/>
          <w:szCs w:val="32"/>
        </w:rPr>
        <w:t>评定实施细则</w:t>
      </w:r>
    </w:p>
    <w:p>
      <w:pPr>
        <w:ind w:firstLine="560" w:firstLineChars="200"/>
        <w:jc w:val="center"/>
        <w:rPr>
          <w:rFonts w:ascii="仿宋" w:hAnsi="仿宋" w:eastAsia="仿宋"/>
          <w:bCs/>
          <w:color w:val="000000" w:themeColor="text1"/>
          <w:sz w:val="28"/>
          <w:szCs w:val="21"/>
          <w14:textFill>
            <w14:solidFill>
              <w14:schemeClr w14:val="tx1"/>
            </w14:solidFill>
          </w14:textFill>
        </w:rPr>
      </w:pPr>
    </w:p>
    <w:p>
      <w:pPr>
        <w:pStyle w:val="10"/>
        <w:keepNext w:val="0"/>
        <w:keepLines w:val="0"/>
        <w:pageBreakBefore w:val="0"/>
        <w:widowControl w:val="0"/>
        <w:numPr>
          <w:ilvl w:val="0"/>
          <w:numId w:val="1"/>
        </w:numPr>
        <w:kinsoku/>
        <w:wordWrap/>
        <w:overflowPunct/>
        <w:topLinePunct w:val="0"/>
        <w:autoSpaceDE/>
        <w:autoSpaceDN/>
        <w:bidi w:val="0"/>
        <w:adjustRightInd/>
        <w:snapToGrid/>
        <w:ind w:left="839" w:firstLine="0" w:firstLineChars="0"/>
        <w:jc w:val="center"/>
        <w:textAlignment w:val="auto"/>
        <w:rPr>
          <w:rFonts w:ascii="仿宋" w:hAnsi="仿宋" w:eastAsia="仿宋"/>
          <w:b/>
          <w:color w:val="000000" w:themeColor="text1"/>
          <w:sz w:val="28"/>
          <w:szCs w:val="21"/>
          <w14:textFill>
            <w14:solidFill>
              <w14:schemeClr w14:val="tx1"/>
            </w14:solidFill>
          </w14:textFill>
        </w:rPr>
      </w:pPr>
      <w:r>
        <w:rPr>
          <w:rFonts w:hint="eastAsia" w:ascii="仿宋" w:hAnsi="仿宋" w:eastAsia="仿宋"/>
          <w:b/>
          <w:color w:val="000000" w:themeColor="text1"/>
          <w:sz w:val="28"/>
          <w:szCs w:val="21"/>
          <w14:textFill>
            <w14:solidFill>
              <w14:schemeClr w14:val="tx1"/>
            </w14:solidFill>
          </w14:textFill>
        </w:rPr>
        <w:t>总则</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第一条 为充分调动本院研究生的学习积极性，引导研究生成为具有优良道德品德、扎实理论基础、较强科研能力和社会服务意识的高层次人才，依据学校的相关规章制度、关于《苏州大学研究生奖助学金管理条例（2</w:t>
      </w:r>
      <w:r>
        <w:rPr>
          <w:rFonts w:ascii="仿宋" w:hAnsi="仿宋" w:eastAsia="仿宋"/>
          <w:color w:val="000000" w:themeColor="text1"/>
          <w:sz w:val="28"/>
          <w:szCs w:val="21"/>
          <w14:textFill>
            <w14:solidFill>
              <w14:schemeClr w14:val="tx1"/>
            </w14:solidFill>
          </w14:textFill>
        </w:rPr>
        <w:t>018</w:t>
      </w:r>
      <w:r>
        <w:rPr>
          <w:rFonts w:hint="eastAsia" w:ascii="仿宋" w:hAnsi="仿宋" w:eastAsia="仿宋"/>
          <w:color w:val="000000" w:themeColor="text1"/>
          <w:sz w:val="28"/>
          <w:szCs w:val="21"/>
          <w14:textFill>
            <w14:solidFill>
              <w14:schemeClr w14:val="tx1"/>
            </w14:solidFill>
          </w14:textFill>
        </w:rPr>
        <w:t>年修订）》的通知等要求，结合我院实际，特制定我院研究生捐赠奖（助）学金评定实施细则。</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第二条 本细则所称研究生是指纳入全国研究生招生计划的在校在读全日制研究生（有固定工资收入的除外），获资助的研究生须具有中华人民共和国国籍。</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第三条 如果学校、学部对捐赠奖（助）学金评定之规定与本细则有冲突者，按照学校或学部要求规定；如学院有特别规定的除外。</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第四条 各类捐赠奖（助）学金的申请者必须符合相应的评定标准和要求方可申请，凡参评成果必须是在上年度评奖后取得的成果（有特殊规定的除外）。在同一学年中，获研究生国家奖学金者可兼得一种捐赠类奖学金；捐赠奖（助）学金中如有特别说明的，以捐赠奖（助）学金的捐赠协议和评定条例为准。</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第五条 奖学金评定在符合学校要求的前提下，尽可能保证参评学生在本年级内参与评审，如由于名额限制必须在多个年级评审则高年级同学优先推荐。</w:t>
      </w:r>
    </w:p>
    <w:p>
      <w:pPr>
        <w:ind w:firstLine="562" w:firstLineChars="200"/>
        <w:jc w:val="center"/>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第二章　奖励比例与基本条件</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第六条 名额分配和要求</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w:t>
      </w:r>
      <w:r>
        <w:rPr>
          <w:rFonts w:ascii="仿宋" w:hAnsi="仿宋" w:eastAsia="仿宋"/>
          <w:color w:val="000000" w:themeColor="text1"/>
          <w:sz w:val="28"/>
          <w:szCs w:val="21"/>
          <w14:textFill>
            <w14:solidFill>
              <w14:schemeClr w14:val="tx1"/>
            </w14:solidFill>
          </w14:textFill>
        </w:rPr>
        <w:t xml:space="preserve">. </w:t>
      </w:r>
      <w:r>
        <w:rPr>
          <w:rFonts w:hint="eastAsia" w:ascii="仿宋" w:hAnsi="仿宋" w:eastAsia="仿宋"/>
          <w:color w:val="000000" w:themeColor="text1"/>
          <w:sz w:val="28"/>
          <w:szCs w:val="21"/>
          <w14:textFill>
            <w14:solidFill>
              <w14:schemeClr w14:val="tx1"/>
            </w14:solidFill>
          </w14:textFill>
        </w:rPr>
        <w:t>研究生捐赠奖（助）学金的类别和名额由苏州医学院统筹分配；</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2</w:t>
      </w:r>
      <w:r>
        <w:rPr>
          <w:rFonts w:ascii="仿宋" w:hAnsi="仿宋" w:eastAsia="仿宋"/>
          <w:color w:val="000000" w:themeColor="text1"/>
          <w:sz w:val="28"/>
          <w:szCs w:val="21"/>
          <w14:textFill>
            <w14:solidFill>
              <w14:schemeClr w14:val="tx1"/>
            </w14:solidFill>
          </w14:textFill>
        </w:rPr>
        <w:t xml:space="preserve">. </w:t>
      </w:r>
      <w:r>
        <w:rPr>
          <w:rFonts w:hint="eastAsia" w:ascii="仿宋" w:hAnsi="仿宋" w:eastAsia="仿宋"/>
          <w:color w:val="000000" w:themeColor="text1"/>
          <w:sz w:val="28"/>
          <w:szCs w:val="21"/>
          <w14:textFill>
            <w14:solidFill>
              <w14:schemeClr w14:val="tx1"/>
            </w14:solidFill>
          </w14:textFill>
        </w:rPr>
        <w:t>同一学年各捐赠类奖、助学金不可兼报。</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第七条 研究生捐赠奖（助）学金基本申请条件</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（一）德育要求</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1．热爱祖国，拥护党的基本路线，坚持四项基本原则，自觉遵守国家法令和学校、</w:t>
      </w:r>
      <w:r>
        <w:rPr>
          <w:rFonts w:hint="eastAsia" w:ascii="仿宋" w:hAnsi="仿宋" w:eastAsia="仿宋"/>
          <w:color w:val="000000" w:themeColor="text1"/>
          <w:sz w:val="28"/>
          <w:szCs w:val="21"/>
          <w:lang w:val="en-US" w:eastAsia="zh-CN"/>
          <w14:textFill>
            <w14:solidFill>
              <w14:schemeClr w14:val="tx1"/>
            </w14:solidFill>
          </w14:textFill>
        </w:rPr>
        <w:t>医学院</w:t>
      </w:r>
      <w:r>
        <w:rPr>
          <w:rFonts w:hint="eastAsia" w:ascii="仿宋" w:hAnsi="仿宋" w:eastAsia="仿宋"/>
          <w:color w:val="000000" w:themeColor="text1"/>
          <w:sz w:val="28"/>
          <w:szCs w:val="21"/>
          <w14:textFill>
            <w14:solidFill>
              <w14:schemeClr w14:val="tx1"/>
            </w14:solidFill>
          </w14:textFill>
        </w:rPr>
        <w:t xml:space="preserve">、学院各项规章制度，品行端正，积极参加社会实践，关心集体，团结同学； </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2．注重个人和集体卫生，没有住宿安全卫生问题和违规现象。</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3．遵守研究生培养教育管理条例，诚实守信，遵守科学道德规范，诚信、求真。</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 xml:space="preserve"> 如有严重违反以上任何一条之情形，实行一票否决。</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（二）学习成绩</w:t>
      </w:r>
    </w:p>
    <w:p>
      <w:pPr>
        <w:widowControl/>
        <w:shd w:val="clear" w:color="auto" w:fill="FFFFFF"/>
        <w:spacing w:before="156" w:beforeLines="50" w:after="156" w:afterLines="50" w:line="240" w:lineRule="atLeast"/>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学习成绩满分为1</w:t>
      </w:r>
      <w:r>
        <w:rPr>
          <w:rFonts w:ascii="仿宋" w:hAnsi="仿宋" w:eastAsia="仿宋"/>
          <w:color w:val="000000" w:themeColor="text1"/>
          <w:sz w:val="28"/>
          <w:szCs w:val="21"/>
          <w14:textFill>
            <w14:solidFill>
              <w14:schemeClr w14:val="tx1"/>
            </w14:solidFill>
          </w14:textFill>
        </w:rPr>
        <w:t>0</w:t>
      </w:r>
      <w:r>
        <w:rPr>
          <w:rFonts w:hint="eastAsia" w:ascii="仿宋" w:hAnsi="仿宋" w:eastAsia="仿宋"/>
          <w:color w:val="000000" w:themeColor="text1"/>
          <w:sz w:val="28"/>
          <w:szCs w:val="21"/>
          <w14:textFill>
            <w14:solidFill>
              <w14:schemeClr w14:val="tx1"/>
            </w14:solidFill>
          </w14:textFill>
        </w:rPr>
        <w:t>分。</w:t>
      </w:r>
      <w:r>
        <w:rPr>
          <w:rFonts w:hint="eastAsia" w:ascii="仿宋" w:hAnsi="仿宋" w:eastAsia="仿宋"/>
          <w:color w:val="000000" w:themeColor="text1"/>
          <w:sz w:val="28"/>
          <w:szCs w:val="21"/>
          <w14:textFill>
            <w14:solidFill>
              <w14:schemeClr w14:val="tx1"/>
            </w14:solidFill>
          </w14:textFill>
        </w:rPr>
        <w:t>要求课程均分在75分以上，所有课程没有不合格现象方可参评。</w:t>
      </w:r>
      <w:r>
        <w:rPr>
          <w:rFonts w:hint="eastAsia" w:ascii="仿宋" w:hAnsi="仿宋" w:eastAsia="仿宋" w:cs="宋体"/>
          <w:color w:val="000000" w:themeColor="text1"/>
          <w:kern w:val="0"/>
          <w:sz w:val="28"/>
          <w:szCs w:val="28"/>
          <w14:textFill>
            <w14:solidFill>
              <w14:schemeClr w14:val="tx1"/>
            </w14:solidFill>
          </w14:textFill>
        </w:rPr>
        <w:t>学习成绩</w:t>
      </w:r>
      <w:r>
        <w:rPr>
          <w:rFonts w:ascii="仿宋" w:hAnsi="仿宋" w:eastAsia="仿宋" w:cs="宋体"/>
          <w:color w:val="000000" w:themeColor="text1"/>
          <w:kern w:val="0"/>
          <w:sz w:val="28"/>
          <w:szCs w:val="28"/>
          <w14:textFill>
            <w14:solidFill>
              <w14:schemeClr w14:val="tx1"/>
            </w14:solidFill>
          </w14:textFill>
        </w:rPr>
        <w:t>=(课程</w:t>
      </w:r>
      <w:r>
        <w:rPr>
          <w:rFonts w:hint="eastAsia" w:ascii="仿宋" w:hAnsi="仿宋" w:eastAsia="仿宋" w:cs="宋体"/>
          <w:color w:val="000000" w:themeColor="text1"/>
          <w:kern w:val="0"/>
          <w:sz w:val="28"/>
          <w:szCs w:val="28"/>
          <w14:textFill>
            <w14:solidFill>
              <w14:schemeClr w14:val="tx1"/>
            </w14:solidFill>
          </w14:textFill>
        </w:rPr>
        <w:t>1</w:t>
      </w:r>
      <w:r>
        <w:rPr>
          <w:rFonts w:ascii="仿宋" w:hAnsi="仿宋" w:eastAsia="仿宋" w:cs="宋体"/>
          <w:color w:val="000000" w:themeColor="text1"/>
          <w:kern w:val="0"/>
          <w:sz w:val="28"/>
          <w:szCs w:val="28"/>
          <w14:textFill>
            <w14:solidFill>
              <w14:schemeClr w14:val="tx1"/>
            </w14:solidFill>
          </w14:textFill>
        </w:rPr>
        <w:t>成绩×</w:t>
      </w:r>
      <w:r>
        <w:rPr>
          <w:rFonts w:hint="eastAsia" w:ascii="仿宋" w:hAnsi="仿宋" w:eastAsia="仿宋" w:cs="宋体"/>
          <w:color w:val="000000" w:themeColor="text1"/>
          <w:kern w:val="0"/>
          <w:sz w:val="28"/>
          <w:szCs w:val="28"/>
          <w:lang w:val="en-US" w:eastAsia="zh-CN"/>
          <w14:textFill>
            <w14:solidFill>
              <w14:schemeClr w14:val="tx1"/>
            </w14:solidFill>
          </w14:textFill>
        </w:rPr>
        <w:t>学分1</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课程2成绩</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学分2</w:t>
      </w:r>
      <w:r>
        <w:rPr>
          <w:rFonts w:ascii="仿宋" w:hAnsi="仿宋" w:eastAsia="仿宋" w:cs="宋体"/>
          <w:color w:val="000000" w:themeColor="text1"/>
          <w:kern w:val="0"/>
          <w:sz w:val="28"/>
          <w:szCs w:val="28"/>
          <w14:textFill>
            <w14:solidFill>
              <w14:schemeClr w14:val="tx1"/>
            </w14:solidFill>
          </w14:textFill>
        </w:rPr>
        <w:t>……+课程</w:t>
      </w:r>
      <w:r>
        <w:rPr>
          <w:rFonts w:hint="eastAsia" w:ascii="仿宋" w:hAnsi="仿宋" w:eastAsia="仿宋" w:cs="宋体"/>
          <w:color w:val="000000" w:themeColor="text1"/>
          <w:kern w:val="0"/>
          <w:sz w:val="28"/>
          <w:szCs w:val="28"/>
          <w14:textFill>
            <w14:solidFill>
              <w14:schemeClr w14:val="tx1"/>
            </w14:solidFill>
          </w14:textFill>
        </w:rPr>
        <w:t>n成绩</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学分n</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总学分</w:t>
      </w:r>
      <w:r>
        <w:rPr>
          <w:rFonts w:hint="eastAsia" w:ascii="仿宋" w:hAnsi="仿宋" w:eastAsia="仿宋"/>
          <w:color w:val="000000" w:themeColor="text1"/>
          <w:sz w:val="28"/>
          <w:szCs w:val="21"/>
          <w14:textFill>
            <w14:solidFill>
              <w14:schemeClr w14:val="tx1"/>
            </w14:solidFill>
          </w14:textFill>
        </w:rPr>
        <w:t>（满分不是100分的课程，使用归化成绩：课程成绩/满分×100）</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如有免考科目（需提供证明），统一认定成绩为</w:t>
      </w:r>
      <w:r>
        <w:rPr>
          <w:rFonts w:hint="eastAsia" w:ascii="仿宋" w:hAnsi="仿宋" w:eastAsia="仿宋" w:cs="宋体"/>
          <w:color w:val="000000" w:themeColor="text1"/>
          <w:kern w:val="0"/>
          <w:sz w:val="28"/>
          <w:szCs w:val="28"/>
          <w:lang w:val="en-US" w:eastAsia="zh-CN"/>
          <w14:textFill>
            <w14:solidFill>
              <w14:schemeClr w14:val="tx1"/>
            </w14:solidFill>
          </w14:textFill>
        </w:rPr>
        <w:t>90分</w:t>
      </w:r>
      <w:r>
        <w:rPr>
          <w:rFonts w:hint="eastAsia" w:ascii="仿宋" w:hAnsi="仿宋" w:eastAsia="仿宋"/>
          <w:color w:val="000000" w:themeColor="text1"/>
          <w:sz w:val="28"/>
          <w:szCs w:val="21"/>
          <w14:textFill>
            <w14:solidFill>
              <w14:schemeClr w14:val="tx1"/>
            </w14:solidFill>
          </w14:textFill>
        </w:rPr>
        <w:t>；</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（三）科研成果</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1.研究生科研成果应是苏州大学为第一署名单位且为通讯单位之一，并要求已见刊（on line）；</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2.发表I、II区SCI论文排名前三位作者计分方法按0.6、0.3、0.1比例计算；如前两位为共同第一作者，按0.45、0.45、0.1比例计算；前三位为共同第一作者，按1/3、1/3、1/3比例计算；</w:t>
      </w:r>
      <w:r>
        <w:rPr>
          <w:rFonts w:hint="eastAsia" w:ascii="仿宋" w:hAnsi="仿宋" w:eastAsia="仿宋" w:cs="宋体"/>
          <w:color w:val="000000" w:themeColor="text1"/>
          <w:kern w:val="0"/>
          <w:sz w:val="28"/>
          <w:szCs w:val="28"/>
          <w14:textFill>
            <w14:solidFill>
              <w14:schemeClr w14:val="tx1"/>
            </w14:solidFill>
          </w14:textFill>
        </w:rPr>
        <w:t>共同第一作者超过3人，按人数均分</w:t>
      </w:r>
      <w:r>
        <w:rPr>
          <w:rFonts w:hint="eastAsia" w:ascii="仿宋" w:hAnsi="仿宋" w:eastAsia="仿宋"/>
          <w:color w:val="000000" w:themeColor="text1"/>
          <w:sz w:val="28"/>
          <w:szCs w:val="21"/>
          <w14:textFill>
            <w14:solidFill>
              <w14:schemeClr w14:val="tx1"/>
            </w14:solidFill>
          </w14:textFill>
        </w:rPr>
        <w:t>。Nature Index中杂志论文等同于I区SCI论文，SSCI论文计分方法与SCI论文齐同；</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3.其它文章必须本人为第一/共同第一作者或导师为第一作者、本人为第二作者；如为共同第一作者，分值除以共同第一作者数；如果导师和本人为共同第一作者，分值全部计为本人；</w:t>
      </w:r>
      <w:r>
        <w:rPr>
          <w:rFonts w:hint="eastAsia" w:ascii="仿宋" w:hAnsi="仿宋" w:eastAsia="仿宋" w:cs="宋体"/>
          <w:color w:val="000000" w:themeColor="text1"/>
          <w:kern w:val="0"/>
          <w:sz w:val="28"/>
          <w:szCs w:val="28"/>
          <w14:textFill>
            <w14:solidFill>
              <w14:schemeClr w14:val="tx1"/>
            </w14:solidFill>
          </w14:textFill>
        </w:rPr>
        <w:t>如果</w:t>
      </w:r>
      <w:r>
        <w:rPr>
          <w:rFonts w:ascii="仿宋" w:hAnsi="仿宋" w:eastAsia="仿宋" w:cs="宋体"/>
          <w:color w:val="000000" w:themeColor="text1"/>
          <w:kern w:val="0"/>
          <w:sz w:val="28"/>
          <w:szCs w:val="28"/>
          <w14:textFill>
            <w14:solidFill>
              <w14:schemeClr w14:val="tx1"/>
            </w14:solidFill>
          </w14:textFill>
        </w:rPr>
        <w:t>导师为第一作者、本人为第二作者</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分值全部计为本人。</w:t>
      </w:r>
      <w:r>
        <w:rPr>
          <w:rFonts w:hint="eastAsia" w:ascii="仿宋" w:hAnsi="仿宋" w:eastAsia="仿宋" w:cs="宋体"/>
          <w:color w:val="000000" w:themeColor="text1"/>
          <w:kern w:val="0"/>
          <w:sz w:val="28"/>
          <w:szCs w:val="28"/>
          <w14:textFill>
            <w14:solidFill>
              <w14:schemeClr w14:val="tx1"/>
            </w14:solidFill>
          </w14:textFill>
        </w:rPr>
        <w:t>否则均视为无效。</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4.综述文章和Meta文章按同档次杂志的0.5计算；letter</w:t>
      </w:r>
      <w:r>
        <w:rPr>
          <w:rFonts w:ascii="仿宋" w:hAnsi="仿宋" w:eastAsia="仿宋" w:cs="宋体"/>
          <w:color w:val="000000" w:themeColor="text1"/>
          <w:kern w:val="0"/>
          <w:sz w:val="28"/>
          <w:szCs w:val="28"/>
          <w14:textFill>
            <w14:solidFill>
              <w14:schemeClr w14:val="tx1"/>
            </w14:solidFill>
          </w14:textFill>
        </w:rPr>
        <w:t>、病例报告、短篇论著、增刊论文、增版论文等不能作为科研成果提交。</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5.项目及科研奖项分为校、省部级和国家级（其中校级奖项和项目限报两项，同类项目和奖项限报一项），项目本人需排名第一，团体竞赛类获奖按人数均分，相同内容的不同级别项目和获奖限报最高级别。研究生获奖情况只填写校级及以上获奖（含校级奖励）。</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6.专利计分仅限本人为第一发明人或导师第一、本人第二，后者计分按</w:t>
      </w:r>
      <w:r>
        <w:rPr>
          <w:rFonts w:hint="eastAsia" w:ascii="仿宋" w:hAnsi="仿宋" w:eastAsia="仿宋" w:cs="宋体"/>
          <w:color w:val="000000" w:themeColor="text1"/>
          <w:kern w:val="0"/>
          <w:sz w:val="28"/>
          <w:szCs w:val="28"/>
          <w:lang w:eastAsia="zh-CN"/>
          <w14:textFill>
            <w14:solidFill>
              <w14:schemeClr w14:val="tx1"/>
            </w14:solidFill>
          </w14:textFill>
        </w:rPr>
        <w:t>第一作者的</w:t>
      </w:r>
      <w:r>
        <w:rPr>
          <w:rFonts w:hint="eastAsia" w:ascii="仿宋" w:hAnsi="仿宋" w:eastAsia="仿宋" w:cs="宋体"/>
          <w:color w:val="000000" w:themeColor="text1"/>
          <w:kern w:val="0"/>
          <w:sz w:val="28"/>
          <w:szCs w:val="28"/>
          <w:lang w:val="en-US" w:eastAsia="zh-CN"/>
          <w14:textFill>
            <w14:solidFill>
              <w14:schemeClr w14:val="tx1"/>
            </w14:solidFill>
          </w14:textFill>
        </w:rPr>
        <w:t>0.5倍</w:t>
      </w:r>
      <w:r>
        <w:rPr>
          <w:rFonts w:ascii="仿宋" w:hAnsi="仿宋" w:eastAsia="仿宋" w:cs="宋体"/>
          <w:color w:val="000000" w:themeColor="text1"/>
          <w:kern w:val="0"/>
          <w:sz w:val="28"/>
          <w:szCs w:val="28"/>
          <w14:textFill>
            <w14:solidFill>
              <w14:schemeClr w14:val="tx1"/>
            </w14:solidFill>
          </w14:textFill>
        </w:rPr>
        <w:t>计算。</w:t>
      </w:r>
      <w:r>
        <w:rPr>
          <w:rFonts w:hint="eastAsia" w:ascii="仿宋" w:hAnsi="仿宋" w:eastAsia="仿宋" w:cs="宋体"/>
          <w:color w:val="000000" w:themeColor="text1"/>
          <w:kern w:val="0"/>
          <w:sz w:val="28"/>
          <w:szCs w:val="28"/>
          <w:lang w:eastAsia="zh-CN"/>
          <w14:textFill>
            <w14:solidFill>
              <w14:schemeClr w14:val="tx1"/>
            </w14:solidFill>
          </w14:textFill>
        </w:rPr>
        <w:t>排名顺序以申报书为准，各类知识产权只参评一次。知识产权申请的单位署名需为“苏州大学”。</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7.材料认定时间以当年通知为准, 杂志分区以论文发表当年情况为准，发表时如果暂未发布新的分区，就按前一年的分区为准。作者排名上如有共同第一作者的一定要标明。如果申请人在文章分区、作者排名、发表时间等问题上虚假瞒报，经核实后取消本次评奖资格。以前已用于申请并获得同类奖助学金的科研成果或者奖项、项目、专利不得在本次申请时重复使用，如果存在虚假瞒报情况，经核实后取消当次评奖资格及本年度其他奖优评选，并记入个人诚信档案。</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8.级别不够明确的项目和奖项由学院“</w:t>
      </w:r>
      <w:r>
        <w:rPr>
          <w:rFonts w:hint="eastAsia" w:ascii="仿宋" w:hAnsi="仿宋" w:eastAsia="仿宋" w:cs="宋体"/>
          <w:color w:val="000000" w:themeColor="text1"/>
          <w:kern w:val="0"/>
          <w:sz w:val="28"/>
          <w:szCs w:val="28"/>
          <w14:textFill>
            <w14:solidFill>
              <w14:schemeClr w14:val="tx1"/>
            </w14:solidFill>
          </w14:textFill>
        </w:rPr>
        <w:t>评奖评优</w:t>
      </w:r>
      <w:r>
        <w:rPr>
          <w:rFonts w:hint="eastAsia" w:ascii="仿宋" w:hAnsi="仿宋" w:eastAsia="仿宋"/>
          <w:color w:val="000000" w:themeColor="text1"/>
          <w:sz w:val="28"/>
          <w:szCs w:val="21"/>
          <w14:textFill>
            <w14:solidFill>
              <w14:schemeClr w14:val="tx1"/>
            </w14:solidFill>
          </w14:textFill>
        </w:rPr>
        <w:t>评审委员会”根据奖项的重要性和影响力讨论认定级别，其他未尽事宜如有发生由学院“</w:t>
      </w:r>
      <w:r>
        <w:rPr>
          <w:rFonts w:hint="eastAsia" w:ascii="仿宋" w:hAnsi="仿宋" w:eastAsia="仿宋" w:cs="宋体"/>
          <w:color w:val="000000" w:themeColor="text1"/>
          <w:kern w:val="0"/>
          <w:sz w:val="28"/>
          <w:szCs w:val="28"/>
          <w14:textFill>
            <w14:solidFill>
              <w14:schemeClr w14:val="tx1"/>
            </w14:solidFill>
          </w14:textFill>
        </w:rPr>
        <w:t>评奖评优</w:t>
      </w:r>
      <w:r>
        <w:rPr>
          <w:rFonts w:hint="eastAsia" w:ascii="仿宋" w:hAnsi="仿宋" w:eastAsia="仿宋"/>
          <w:color w:val="000000" w:themeColor="text1"/>
          <w:sz w:val="28"/>
          <w:szCs w:val="21"/>
          <w14:textFill>
            <w14:solidFill>
              <w14:schemeClr w14:val="tx1"/>
            </w14:solidFill>
          </w14:textFill>
        </w:rPr>
        <w:t>评审委员会”讨论决定。</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97"/>
        <w:gridCol w:w="509"/>
        <w:gridCol w:w="736"/>
        <w:gridCol w:w="567"/>
        <w:gridCol w:w="851"/>
        <w:gridCol w:w="850"/>
        <w:gridCol w:w="526"/>
        <w:gridCol w:w="560"/>
        <w:gridCol w:w="572"/>
        <w:gridCol w:w="532"/>
        <w:gridCol w:w="873"/>
        <w:gridCol w:w="594"/>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21"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类别</w:t>
            </w:r>
          </w:p>
        </w:tc>
        <w:tc>
          <w:tcPr>
            <w:tcW w:w="4110" w:type="dxa"/>
            <w:gridSpan w:val="6"/>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论文</w:t>
            </w:r>
            <w:r>
              <w:rPr>
                <w:rFonts w:hint="eastAsia" w:ascii="仿宋" w:hAnsi="仿宋" w:eastAsia="仿宋"/>
                <w:color w:val="000000" w:themeColor="text1"/>
                <w:sz w:val="28"/>
                <w14:textFill>
                  <w14:solidFill>
                    <w14:schemeClr w14:val="tx1"/>
                  </w14:solidFill>
                </w14:textFill>
              </w:rPr>
              <w:t>（SCI按中科院</w:t>
            </w:r>
            <w:r>
              <w:rPr>
                <w:rFonts w:ascii="仿宋" w:hAnsi="仿宋" w:eastAsia="仿宋"/>
                <w:color w:val="000000" w:themeColor="text1"/>
                <w:sz w:val="28"/>
                <w14:textFill>
                  <w14:solidFill>
                    <w14:schemeClr w14:val="tx1"/>
                  </w14:solidFill>
                </w14:textFill>
              </w:rPr>
              <w:t>分区</w:t>
            </w:r>
            <w:r>
              <w:rPr>
                <w:rFonts w:hint="eastAsia" w:ascii="仿宋" w:hAnsi="仿宋" w:eastAsia="仿宋" w:cs="宋体"/>
                <w:color w:val="000000" w:themeColor="text1"/>
                <w:sz w:val="28"/>
                <w14:textFill>
                  <w14:solidFill>
                    <w14:schemeClr w14:val="tx1"/>
                  </w14:solidFill>
                </w14:textFill>
              </w:rPr>
              <w:t>Ⅰ</w:t>
            </w:r>
            <w:r>
              <w:rPr>
                <w:rFonts w:ascii="仿宋" w:hAnsi="仿宋" w:eastAsia="仿宋"/>
                <w:color w:val="000000" w:themeColor="text1"/>
                <w:sz w:val="28"/>
                <w14:textFill>
                  <w14:solidFill>
                    <w14:schemeClr w14:val="tx1"/>
                  </w14:solidFill>
                </w14:textFill>
              </w:rPr>
              <w:t>-</w:t>
            </w:r>
            <w:r>
              <w:rPr>
                <w:rFonts w:hint="eastAsia" w:ascii="仿宋" w:hAnsi="仿宋" w:eastAsia="仿宋" w:cs="宋体"/>
                <w:color w:val="000000" w:themeColor="text1"/>
                <w:sz w:val="28"/>
                <w14:textFill>
                  <w14:solidFill>
                    <w14:schemeClr w14:val="tx1"/>
                  </w14:solidFill>
                </w14:textFill>
              </w:rPr>
              <w:t>Ⅳ区</w:t>
            </w:r>
            <w:r>
              <w:rPr>
                <w:rFonts w:ascii="仿宋" w:hAnsi="仿宋" w:eastAsia="仿宋" w:cs="宋体"/>
                <w:color w:val="000000" w:themeColor="text1"/>
                <w:sz w:val="28"/>
                <w14:textFill>
                  <w14:solidFill>
                    <w14:schemeClr w14:val="tx1"/>
                  </w14:solidFill>
                </w14:textFill>
              </w:rPr>
              <w:t>计算）</w:t>
            </w:r>
          </w:p>
        </w:tc>
        <w:tc>
          <w:tcPr>
            <w:tcW w:w="1086" w:type="dxa"/>
            <w:gridSpan w:val="2"/>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授权专利</w:t>
            </w:r>
          </w:p>
        </w:tc>
        <w:tc>
          <w:tcPr>
            <w:tcW w:w="1977" w:type="dxa"/>
            <w:gridSpan w:val="3"/>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项目</w:t>
            </w:r>
          </w:p>
        </w:tc>
        <w:tc>
          <w:tcPr>
            <w:tcW w:w="1728" w:type="dxa"/>
            <w:gridSpan w:val="3"/>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421"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p>
        </w:tc>
        <w:tc>
          <w:tcPr>
            <w:tcW w:w="597"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s="宋体"/>
                <w:color w:val="000000" w:themeColor="text1"/>
                <w:sz w:val="28"/>
                <w14:textFill>
                  <w14:solidFill>
                    <w14:schemeClr w14:val="tx1"/>
                  </w14:solidFill>
                </w14:textFill>
              </w:rPr>
              <w:t>Ⅰ</w:t>
            </w:r>
            <w:r>
              <w:rPr>
                <w:rFonts w:ascii="仿宋" w:hAnsi="仿宋" w:eastAsia="仿宋"/>
                <w:color w:val="000000" w:themeColor="text1"/>
                <w:sz w:val="28"/>
                <w14:textFill>
                  <w14:solidFill>
                    <w14:schemeClr w14:val="tx1"/>
                  </w14:solidFill>
                </w14:textFill>
              </w:rPr>
              <w:t>区</w:t>
            </w:r>
          </w:p>
        </w:tc>
        <w:tc>
          <w:tcPr>
            <w:tcW w:w="509"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Ⅱ</w:t>
            </w:r>
            <w:r>
              <w:rPr>
                <w:rFonts w:ascii="仿宋" w:hAnsi="仿宋" w:eastAsia="仿宋"/>
                <w:color w:val="000000" w:themeColor="text1"/>
                <w:sz w:val="28"/>
                <w14:textFill>
                  <w14:solidFill>
                    <w14:schemeClr w14:val="tx1"/>
                  </w14:solidFill>
                </w14:textFill>
              </w:rPr>
              <w:t>区</w:t>
            </w:r>
          </w:p>
        </w:tc>
        <w:tc>
          <w:tcPr>
            <w:tcW w:w="736"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Ⅲ</w:t>
            </w:r>
            <w:r>
              <w:rPr>
                <w:rFonts w:ascii="仿宋" w:hAnsi="仿宋" w:eastAsia="仿宋"/>
                <w:color w:val="000000" w:themeColor="text1"/>
                <w:sz w:val="28"/>
                <w14:textFill>
                  <w14:solidFill>
                    <w14:schemeClr w14:val="tx1"/>
                  </w14:solidFill>
                </w14:textFill>
              </w:rPr>
              <w:t>区/</w:t>
            </w:r>
            <w:r>
              <w:rPr>
                <w:rFonts w:hint="eastAsia" w:ascii="仿宋" w:hAnsi="仿宋" w:eastAsia="仿宋" w:cs="宋体"/>
                <w:color w:val="000000" w:themeColor="text1"/>
                <w:sz w:val="28"/>
                <w14:textFill>
                  <w14:solidFill>
                    <w14:schemeClr w14:val="tx1"/>
                  </w14:solidFill>
                </w14:textFill>
              </w:rPr>
              <w:t>Ⅳ</w:t>
            </w:r>
            <w:r>
              <w:rPr>
                <w:rFonts w:ascii="仿宋" w:hAnsi="仿宋" w:eastAsia="仿宋"/>
                <w:color w:val="000000" w:themeColor="text1"/>
                <w:sz w:val="28"/>
                <w14:textFill>
                  <w14:solidFill>
                    <w14:schemeClr w14:val="tx1"/>
                  </w14:solidFill>
                </w14:textFill>
              </w:rPr>
              <w:t>区</w:t>
            </w:r>
          </w:p>
        </w:tc>
        <w:tc>
          <w:tcPr>
            <w:tcW w:w="567"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EI</w:t>
            </w:r>
          </w:p>
        </w:tc>
        <w:tc>
          <w:tcPr>
            <w:tcW w:w="851"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核心</w:t>
            </w:r>
          </w:p>
        </w:tc>
        <w:tc>
          <w:tcPr>
            <w:tcW w:w="850"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省级</w:t>
            </w:r>
          </w:p>
        </w:tc>
        <w:tc>
          <w:tcPr>
            <w:tcW w:w="526"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发明</w:t>
            </w:r>
          </w:p>
        </w:tc>
        <w:tc>
          <w:tcPr>
            <w:tcW w:w="560"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其他专利</w:t>
            </w:r>
          </w:p>
        </w:tc>
        <w:tc>
          <w:tcPr>
            <w:tcW w:w="572"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国家级</w:t>
            </w:r>
          </w:p>
        </w:tc>
        <w:tc>
          <w:tcPr>
            <w:tcW w:w="532"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省级</w:t>
            </w:r>
          </w:p>
        </w:tc>
        <w:tc>
          <w:tcPr>
            <w:tcW w:w="873"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市厅级</w:t>
            </w:r>
            <w:r>
              <w:rPr>
                <w:rFonts w:hint="eastAsia" w:ascii="仿宋" w:hAnsi="仿宋" w:eastAsia="仿宋"/>
                <w:color w:val="000000" w:themeColor="text1"/>
                <w:sz w:val="28"/>
                <w14:textFill>
                  <w14:solidFill>
                    <w14:schemeClr w14:val="tx1"/>
                  </w14:solidFill>
                </w14:textFill>
              </w:rPr>
              <w:t>/校级</w:t>
            </w:r>
          </w:p>
        </w:tc>
        <w:tc>
          <w:tcPr>
            <w:tcW w:w="594"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国家</w:t>
            </w:r>
          </w:p>
        </w:tc>
        <w:tc>
          <w:tcPr>
            <w:tcW w:w="567"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省级</w:t>
            </w:r>
          </w:p>
        </w:tc>
        <w:tc>
          <w:tcPr>
            <w:tcW w:w="567"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21"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分值</w:t>
            </w:r>
          </w:p>
        </w:tc>
        <w:tc>
          <w:tcPr>
            <w:tcW w:w="597"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80</w:t>
            </w:r>
          </w:p>
        </w:tc>
        <w:tc>
          <w:tcPr>
            <w:tcW w:w="509"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40</w:t>
            </w:r>
          </w:p>
        </w:tc>
        <w:tc>
          <w:tcPr>
            <w:tcW w:w="736"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w:t>
            </w:r>
          </w:p>
        </w:tc>
        <w:tc>
          <w:tcPr>
            <w:tcW w:w="567"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w:t>
            </w:r>
          </w:p>
        </w:tc>
        <w:tc>
          <w:tcPr>
            <w:tcW w:w="851"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w:t>
            </w:r>
          </w:p>
        </w:tc>
        <w:tc>
          <w:tcPr>
            <w:tcW w:w="850"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p>
        </w:tc>
        <w:tc>
          <w:tcPr>
            <w:tcW w:w="526"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w:t>
            </w:r>
          </w:p>
        </w:tc>
        <w:tc>
          <w:tcPr>
            <w:tcW w:w="560"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w:t>
            </w:r>
          </w:p>
        </w:tc>
        <w:tc>
          <w:tcPr>
            <w:tcW w:w="572"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30</w:t>
            </w:r>
          </w:p>
        </w:tc>
        <w:tc>
          <w:tcPr>
            <w:tcW w:w="532"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w:t>
            </w:r>
          </w:p>
        </w:tc>
        <w:tc>
          <w:tcPr>
            <w:tcW w:w="873" w:type="dxa"/>
            <w:vAlign w:val="center"/>
          </w:tcPr>
          <w:p>
            <w:pPr>
              <w:spacing w:before="156" w:beforeLines="50" w:after="156" w:afterLines="50" w:line="240" w:lineRule="atLeast"/>
              <w:jc w:val="center"/>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5</w:t>
            </w:r>
          </w:p>
        </w:tc>
        <w:tc>
          <w:tcPr>
            <w:tcW w:w="594" w:type="dxa"/>
            <w:vAlign w:val="center"/>
          </w:tcPr>
          <w:p>
            <w:pPr>
              <w:spacing w:before="156" w:beforeLines="50" w:after="156" w:afterLines="50" w:line="2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60</w:t>
            </w:r>
          </w:p>
        </w:tc>
        <w:tc>
          <w:tcPr>
            <w:tcW w:w="567" w:type="dxa"/>
            <w:vAlign w:val="center"/>
          </w:tcPr>
          <w:p>
            <w:pPr>
              <w:spacing w:before="156" w:beforeLines="50" w:after="156" w:afterLines="50" w:line="240" w:lineRule="atLeast"/>
              <w:jc w:val="center"/>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30</w:t>
            </w:r>
          </w:p>
        </w:tc>
        <w:tc>
          <w:tcPr>
            <w:tcW w:w="567" w:type="dxa"/>
            <w:vAlign w:val="center"/>
          </w:tcPr>
          <w:p>
            <w:pPr>
              <w:spacing w:before="156" w:beforeLines="50" w:after="156" w:afterLines="50" w:line="240" w:lineRule="atLeast"/>
              <w:jc w:val="center"/>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10</w:t>
            </w:r>
          </w:p>
        </w:tc>
      </w:tr>
    </w:tbl>
    <w:p>
      <w:pPr>
        <w:ind w:firstLine="560" w:firstLineChars="200"/>
        <w:rPr>
          <w:rFonts w:ascii="仿宋" w:hAnsi="仿宋" w:eastAsia="仿宋"/>
          <w:color w:val="000000" w:themeColor="text1"/>
          <w:sz w:val="28"/>
          <w:szCs w:val="21"/>
          <w14:textFill>
            <w14:solidFill>
              <w14:schemeClr w14:val="tx1"/>
            </w14:solidFill>
          </w14:textFill>
        </w:rPr>
      </w:pPr>
    </w:p>
    <w:p>
      <w:pPr>
        <w:rPr>
          <w:rFonts w:ascii="楷体" w:hAnsi="楷体" w:eastAsia="楷体" w:cs="宋体"/>
          <w:color w:val="000000" w:themeColor="text1"/>
          <w:kern w:val="0"/>
          <w:sz w:val="28"/>
          <w:szCs w:val="28"/>
          <w14:textFill>
            <w14:solidFill>
              <w14:schemeClr w14:val="tx1"/>
            </w14:solidFill>
          </w14:textFill>
        </w:rPr>
      </w:pPr>
      <w:r>
        <w:rPr>
          <w:rFonts w:hint="eastAsia" w:ascii="楷体" w:hAnsi="楷体" w:eastAsia="楷体" w:cs="宋体"/>
          <w:color w:val="000000" w:themeColor="text1"/>
          <w:kern w:val="0"/>
          <w:sz w:val="28"/>
          <w:szCs w:val="28"/>
          <w14:textFill>
            <w14:solidFill>
              <w14:schemeClr w14:val="tx1"/>
            </w14:solidFill>
          </w14:textFill>
        </w:rPr>
        <w:t>注：1)项目是指：政府部门（基金委、科技部、教委等，省市厅校类推）下达的纵向课题。</w:t>
      </w:r>
    </w:p>
    <w:p>
      <w:pPr>
        <w:widowControl/>
        <w:numPr>
          <w:ilvl w:val="0"/>
          <w:numId w:val="0"/>
        </w:numPr>
        <w:shd w:val="clear" w:color="auto" w:fill="FFFFFF"/>
        <w:spacing w:before="156" w:beforeLines="50" w:after="156" w:afterLines="50" w:line="240" w:lineRule="atLeast"/>
        <w:ind w:firstLine="560" w:firstLineChars="200"/>
        <w:rPr>
          <w:rFonts w:hint="eastAsia" w:ascii="楷体" w:hAnsi="楷体" w:eastAsia="楷体" w:cs="宋体"/>
          <w:color w:val="000000" w:themeColor="text1"/>
          <w:kern w:val="0"/>
          <w:sz w:val="28"/>
          <w:szCs w:val="28"/>
          <w:lang w:val="en-US" w:eastAsia="zh-CN"/>
          <w14:textFill>
            <w14:solidFill>
              <w14:schemeClr w14:val="tx1"/>
            </w14:solidFill>
          </w14:textFill>
        </w:rPr>
      </w:pPr>
      <w:r>
        <w:rPr>
          <w:rFonts w:hint="eastAsia" w:ascii="楷体" w:hAnsi="楷体" w:eastAsia="楷体" w:cs="宋体"/>
          <w:color w:val="000000" w:themeColor="text1"/>
          <w:kern w:val="0"/>
          <w:sz w:val="28"/>
          <w:szCs w:val="28"/>
          <w:lang w:val="en-US" w:eastAsia="zh-CN"/>
          <w14:textFill>
            <w14:solidFill>
              <w14:schemeClr w14:val="tx1"/>
            </w14:solidFill>
          </w14:textFill>
        </w:rPr>
        <w:t>2)</w:t>
      </w:r>
      <w:r>
        <w:rPr>
          <w:rFonts w:hint="eastAsia" w:ascii="楷体" w:hAnsi="楷体" w:eastAsia="楷体" w:cs="宋体"/>
          <w:color w:val="000000" w:themeColor="text1"/>
          <w:kern w:val="0"/>
          <w:sz w:val="28"/>
          <w:szCs w:val="28"/>
          <w14:textFill>
            <w14:solidFill>
              <w14:schemeClr w14:val="tx1"/>
            </w14:solidFill>
          </w14:textFill>
        </w:rPr>
        <w:t>奖项是指：竞赛类获奖；政府部门（科技部、教委等，省市厅类推）颁发的奖项；国家一级学会如中华医学会奖项可视作省部级奖；校级奖与市厅级等同。所有不同等级奖项均不包括学术会议奖及学术论文奖。</w:t>
      </w:r>
    </w:p>
    <w:p>
      <w:pPr>
        <w:widowControl/>
        <w:numPr>
          <w:ilvl w:val="0"/>
          <w:numId w:val="0"/>
        </w:numPr>
        <w:shd w:val="clear" w:color="auto" w:fill="FFFFFF"/>
        <w:spacing w:before="156" w:beforeLines="50" w:after="156" w:afterLines="50" w:line="240" w:lineRule="atLeast"/>
        <w:ind w:firstLine="560" w:firstLineChars="200"/>
        <w:rPr>
          <w:rFonts w:hint="default" w:ascii="楷体" w:hAnsi="楷体" w:eastAsia="楷体" w:cs="宋体"/>
          <w:color w:val="000000" w:themeColor="text1"/>
          <w:kern w:val="0"/>
          <w:sz w:val="28"/>
          <w:szCs w:val="28"/>
          <w:lang w:val="en-US" w:eastAsia="zh-CN"/>
          <w14:textFill>
            <w14:solidFill>
              <w14:schemeClr w14:val="tx1"/>
            </w14:solidFill>
          </w14:textFill>
        </w:rPr>
      </w:pPr>
      <w:r>
        <w:rPr>
          <w:rFonts w:hint="eastAsia" w:ascii="楷体" w:hAnsi="楷体" w:eastAsia="楷体" w:cs="宋体"/>
          <w:color w:val="000000" w:themeColor="text1"/>
          <w:kern w:val="0"/>
          <w:sz w:val="28"/>
          <w:szCs w:val="28"/>
          <w:lang w:val="en-US" w:eastAsia="zh-CN"/>
          <w14:textFill>
            <w14:solidFill>
              <w14:schemeClr w14:val="tx1"/>
            </w14:solidFill>
          </w14:textFill>
        </w:rPr>
        <w:t>3)</w:t>
      </w:r>
      <w:r>
        <w:rPr>
          <w:rFonts w:hint="eastAsia" w:ascii="楷体" w:hAnsi="楷体" w:eastAsia="楷体" w:cs="宋体"/>
          <w:color w:val="000000" w:themeColor="text1"/>
          <w:kern w:val="0"/>
          <w:sz w:val="28"/>
          <w:szCs w:val="28"/>
          <w14:textFill>
            <w14:solidFill>
              <w14:schemeClr w14:val="tx1"/>
            </w14:solidFill>
          </w14:textFill>
        </w:rPr>
        <w:t>核心期刊主要包括北京大学图书馆“中文核心期刊”及</w:t>
      </w:r>
      <w:r>
        <w:rPr>
          <w:rFonts w:hint="eastAsia" w:ascii="楷体" w:hAnsi="楷体" w:eastAsia="楷体" w:cs="宋体"/>
          <w:color w:val="000000" w:themeColor="text1"/>
          <w:kern w:val="0"/>
          <w:sz w:val="28"/>
          <w:szCs w:val="28"/>
          <w14:textFill>
            <w14:solidFill>
              <w14:schemeClr w14:val="tx1"/>
            </w14:solidFill>
          </w14:textFill>
        </w:rPr>
        <w:fldChar w:fldCharType="begin"/>
      </w:r>
      <w:r>
        <w:rPr>
          <w:rFonts w:hint="eastAsia" w:ascii="楷体" w:hAnsi="楷体" w:eastAsia="楷体" w:cs="宋体"/>
          <w:color w:val="000000" w:themeColor="text1"/>
          <w:kern w:val="0"/>
          <w:sz w:val="28"/>
          <w:szCs w:val="28"/>
          <w14:textFill>
            <w14:solidFill>
              <w14:schemeClr w14:val="tx1"/>
            </w14:solidFill>
          </w14:textFill>
        </w:rPr>
        <w:instrText xml:space="preserve"> HYPERLINK "https://baike.baidu.com/item/%E5%8D%97%E4%BA%AC%E5%A4%A7%E5%AD%A6/137482?fromModule=lemma_inlink" \t "https://baike.baidu.com/item/%E6%A0%B8%E5%BF%83%E6%9C%9F%E5%88%8A/_blank" </w:instrText>
      </w:r>
      <w:r>
        <w:rPr>
          <w:rFonts w:hint="eastAsia" w:ascii="楷体" w:hAnsi="楷体" w:eastAsia="楷体" w:cs="宋体"/>
          <w:color w:val="000000" w:themeColor="text1"/>
          <w:kern w:val="0"/>
          <w:sz w:val="28"/>
          <w:szCs w:val="28"/>
          <w14:textFill>
            <w14:solidFill>
              <w14:schemeClr w14:val="tx1"/>
            </w14:solidFill>
          </w14:textFill>
        </w:rPr>
        <w:fldChar w:fldCharType="separate"/>
      </w:r>
      <w:r>
        <w:rPr>
          <w:rFonts w:hint="eastAsia" w:ascii="楷体" w:hAnsi="楷体" w:eastAsia="楷体" w:cs="宋体"/>
          <w:color w:val="000000" w:themeColor="text1"/>
          <w:kern w:val="0"/>
          <w:sz w:val="28"/>
          <w:szCs w:val="28"/>
          <w14:textFill>
            <w14:solidFill>
              <w14:schemeClr w14:val="tx1"/>
            </w14:solidFill>
          </w14:textFill>
        </w:rPr>
        <w:t>南京大学</w:t>
      </w:r>
      <w:r>
        <w:rPr>
          <w:rFonts w:hint="eastAsia" w:ascii="楷体" w:hAnsi="楷体" w:eastAsia="楷体" w:cs="宋体"/>
          <w:color w:val="000000" w:themeColor="text1"/>
          <w:kern w:val="0"/>
          <w:sz w:val="28"/>
          <w:szCs w:val="28"/>
          <w14:textFill>
            <w14:solidFill>
              <w14:schemeClr w14:val="tx1"/>
            </w14:solidFill>
          </w14:textFill>
        </w:rPr>
        <w:fldChar w:fldCharType="end"/>
      </w:r>
      <w:r>
        <w:rPr>
          <w:rFonts w:hint="eastAsia" w:ascii="楷体" w:hAnsi="楷体" w:eastAsia="楷体" w:cs="宋体"/>
          <w:color w:val="000000" w:themeColor="text1"/>
          <w:kern w:val="0"/>
          <w:sz w:val="28"/>
          <w:szCs w:val="28"/>
          <w14:textFill>
            <w14:solidFill>
              <w14:schemeClr w14:val="tx1"/>
            </w14:solidFill>
          </w14:textFill>
        </w:rPr>
        <w:t>“</w:t>
      </w:r>
      <w:r>
        <w:rPr>
          <w:rFonts w:hint="eastAsia" w:ascii="楷体" w:hAnsi="楷体" w:eastAsia="楷体" w:cs="宋体"/>
          <w:color w:val="000000" w:themeColor="text1"/>
          <w:kern w:val="0"/>
          <w:sz w:val="28"/>
          <w:szCs w:val="28"/>
          <w14:textFill>
            <w14:solidFill>
              <w14:schemeClr w14:val="tx1"/>
            </w14:solidFill>
          </w14:textFill>
        </w:rPr>
        <w:fldChar w:fldCharType="begin"/>
      </w:r>
      <w:r>
        <w:rPr>
          <w:rFonts w:hint="eastAsia" w:ascii="楷体" w:hAnsi="楷体" w:eastAsia="楷体" w:cs="宋体"/>
          <w:color w:val="000000" w:themeColor="text1"/>
          <w:kern w:val="0"/>
          <w:sz w:val="28"/>
          <w:szCs w:val="28"/>
          <w14:textFill>
            <w14:solidFill>
              <w14:schemeClr w14:val="tx1"/>
            </w14:solidFill>
          </w14:textFill>
        </w:rPr>
        <w:instrText xml:space="preserve"> HYPERLINK "https://baike.baidu.com/item/%E4%B8%AD%E6%96%87%E7%A4%BE%E4%BC%9A%E7%A7%91%E5%AD%A6%E5%BC%95%E6%96%87%E7%B4%A2%E5%BC%95/1007225?fromModule=lemma_inlink" \t "https://baike.baidu.com/item/%E6%A0%B8%E5%BF%83%E6%9C%9F%E5%88%8A/_blank" </w:instrText>
      </w:r>
      <w:r>
        <w:rPr>
          <w:rFonts w:hint="eastAsia" w:ascii="楷体" w:hAnsi="楷体" w:eastAsia="楷体" w:cs="宋体"/>
          <w:color w:val="000000" w:themeColor="text1"/>
          <w:kern w:val="0"/>
          <w:sz w:val="28"/>
          <w:szCs w:val="28"/>
          <w14:textFill>
            <w14:solidFill>
              <w14:schemeClr w14:val="tx1"/>
            </w14:solidFill>
          </w14:textFill>
        </w:rPr>
        <w:fldChar w:fldCharType="separate"/>
      </w:r>
      <w:r>
        <w:rPr>
          <w:rFonts w:hint="eastAsia" w:ascii="楷体" w:hAnsi="楷体" w:eastAsia="楷体" w:cs="宋体"/>
          <w:color w:val="000000" w:themeColor="text1"/>
          <w:kern w:val="0"/>
          <w:sz w:val="28"/>
          <w:szCs w:val="28"/>
          <w14:textFill>
            <w14:solidFill>
              <w14:schemeClr w14:val="tx1"/>
            </w14:solidFill>
          </w14:textFill>
        </w:rPr>
        <w:t>中文社会科学引文索引</w:t>
      </w:r>
      <w:r>
        <w:rPr>
          <w:rFonts w:hint="eastAsia" w:ascii="楷体" w:hAnsi="楷体" w:eastAsia="楷体" w:cs="宋体"/>
          <w:color w:val="000000" w:themeColor="text1"/>
          <w:kern w:val="0"/>
          <w:sz w:val="28"/>
          <w:szCs w:val="28"/>
          <w14:textFill>
            <w14:solidFill>
              <w14:schemeClr w14:val="tx1"/>
            </w14:solidFill>
          </w14:textFill>
        </w:rPr>
        <w:fldChar w:fldCharType="end"/>
      </w:r>
      <w:r>
        <w:rPr>
          <w:rFonts w:hint="eastAsia" w:ascii="楷体" w:hAnsi="楷体" w:eastAsia="楷体" w:cs="宋体"/>
          <w:color w:val="000000" w:themeColor="text1"/>
          <w:kern w:val="0"/>
          <w:sz w:val="28"/>
          <w:szCs w:val="28"/>
          <w14:textFill>
            <w14:solidFill>
              <w14:schemeClr w14:val="tx1"/>
            </w14:solidFill>
          </w14:textFill>
        </w:rPr>
        <w:t>（</w:t>
      </w:r>
      <w:r>
        <w:rPr>
          <w:rFonts w:hint="eastAsia" w:ascii="楷体" w:hAnsi="楷体" w:eastAsia="楷体" w:cs="宋体"/>
          <w:color w:val="000000" w:themeColor="text1"/>
          <w:kern w:val="0"/>
          <w:sz w:val="28"/>
          <w:szCs w:val="28"/>
          <w14:textFill>
            <w14:solidFill>
              <w14:schemeClr w14:val="tx1"/>
            </w14:solidFill>
          </w14:textFill>
        </w:rPr>
        <w:fldChar w:fldCharType="begin"/>
      </w:r>
      <w:r>
        <w:rPr>
          <w:rFonts w:hint="eastAsia" w:ascii="楷体" w:hAnsi="楷体" w:eastAsia="楷体" w:cs="宋体"/>
          <w:color w:val="000000" w:themeColor="text1"/>
          <w:kern w:val="0"/>
          <w:sz w:val="28"/>
          <w:szCs w:val="28"/>
          <w14:textFill>
            <w14:solidFill>
              <w14:schemeClr w14:val="tx1"/>
            </w14:solidFill>
          </w14:textFill>
        </w:rPr>
        <w:instrText xml:space="preserve"> HYPERLINK "https://baike.baidu.com/item/CSSCI/4839150?fromModule=lemma_inlink" \t "https://baike.baidu.com/item/%E6%A0%B8%E5%BF%83%E6%9C%9F%E5%88%8A/_blank" </w:instrText>
      </w:r>
      <w:r>
        <w:rPr>
          <w:rFonts w:hint="eastAsia" w:ascii="楷体" w:hAnsi="楷体" w:eastAsia="楷体" w:cs="宋体"/>
          <w:color w:val="000000" w:themeColor="text1"/>
          <w:kern w:val="0"/>
          <w:sz w:val="28"/>
          <w:szCs w:val="28"/>
          <w14:textFill>
            <w14:solidFill>
              <w14:schemeClr w14:val="tx1"/>
            </w14:solidFill>
          </w14:textFill>
        </w:rPr>
        <w:fldChar w:fldCharType="separate"/>
      </w:r>
      <w:r>
        <w:rPr>
          <w:rFonts w:hint="eastAsia" w:ascii="楷体" w:hAnsi="楷体" w:eastAsia="楷体" w:cs="宋体"/>
          <w:color w:val="000000" w:themeColor="text1"/>
          <w:kern w:val="0"/>
          <w:sz w:val="28"/>
          <w:szCs w:val="28"/>
          <w14:textFill>
            <w14:solidFill>
              <w14:schemeClr w14:val="tx1"/>
            </w14:solidFill>
          </w14:textFill>
        </w:rPr>
        <w:t>CSSCI</w:t>
      </w:r>
      <w:r>
        <w:rPr>
          <w:rFonts w:hint="eastAsia" w:ascii="楷体" w:hAnsi="楷体" w:eastAsia="楷体" w:cs="宋体"/>
          <w:color w:val="000000" w:themeColor="text1"/>
          <w:kern w:val="0"/>
          <w:sz w:val="28"/>
          <w:szCs w:val="28"/>
          <w14:textFill>
            <w14:solidFill>
              <w14:schemeClr w14:val="tx1"/>
            </w14:solidFill>
          </w14:textFill>
        </w:rPr>
        <w:fldChar w:fldCharType="end"/>
      </w:r>
      <w:r>
        <w:rPr>
          <w:rFonts w:hint="eastAsia" w:ascii="楷体" w:hAnsi="楷体" w:eastAsia="楷体" w:cs="宋体"/>
          <w:color w:val="000000" w:themeColor="text1"/>
          <w:kern w:val="0"/>
          <w:sz w:val="28"/>
          <w:szCs w:val="28"/>
          <w14:textFill>
            <w14:solidFill>
              <w14:schemeClr w14:val="tx1"/>
            </w14:solidFill>
          </w14:textFill>
        </w:rPr>
        <w:t>）来源期刊”</w:t>
      </w:r>
      <w:r>
        <w:rPr>
          <w:rFonts w:hint="eastAsia" w:ascii="楷体" w:hAnsi="楷体" w:eastAsia="楷体" w:cs="宋体"/>
          <w:color w:val="000000" w:themeColor="text1"/>
          <w:kern w:val="0"/>
          <w:sz w:val="28"/>
          <w:szCs w:val="28"/>
          <w:lang w:eastAsia="zh-CN"/>
          <w14:textFill>
            <w14:solidFill>
              <w14:schemeClr w14:val="tx1"/>
            </w14:solidFill>
          </w14:textFill>
        </w:rPr>
        <w:t>。</w:t>
      </w:r>
    </w:p>
    <w:p>
      <w:pPr>
        <w:widowControl/>
        <w:shd w:val="clear" w:color="auto" w:fill="FFFFFF"/>
        <w:spacing w:before="156" w:beforeLines="50" w:after="156" w:afterLines="50" w:line="240" w:lineRule="atLeast"/>
        <w:ind w:firstLine="560" w:firstLineChars="200"/>
        <w:rPr>
          <w:rFonts w:ascii="楷体" w:hAnsi="楷体" w:eastAsia="楷体"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1"/>
          <w:lang w:val="en-US" w:eastAsia="zh-CN"/>
          <w14:textFill>
            <w14:solidFill>
              <w14:schemeClr w14:val="tx1"/>
            </w14:solidFill>
          </w14:textFill>
        </w:rPr>
        <w:t>4</w:t>
      </w:r>
      <w:r>
        <w:rPr>
          <w:rFonts w:hint="eastAsia" w:ascii="仿宋" w:hAnsi="仿宋" w:eastAsia="仿宋"/>
          <w:color w:val="000000" w:themeColor="text1"/>
          <w:sz w:val="28"/>
          <w:szCs w:val="21"/>
          <w14:textFill>
            <w14:solidFill>
              <w14:schemeClr w14:val="tx1"/>
            </w14:solidFill>
          </w14:textFill>
        </w:rPr>
        <w:t>)</w:t>
      </w:r>
      <w:r>
        <w:rPr>
          <w:rFonts w:hint="eastAsia" w:ascii="楷体" w:hAnsi="楷体" w:eastAsia="楷体" w:cs="宋体"/>
          <w:color w:val="000000" w:themeColor="text1"/>
          <w:kern w:val="0"/>
          <w:sz w:val="28"/>
          <w:szCs w:val="28"/>
          <w14:textFill>
            <w14:solidFill>
              <w14:schemeClr w14:val="tx1"/>
            </w14:solidFill>
          </w14:textFill>
        </w:rPr>
        <w:t>关于中科院分区系统，如上级单位没有作要求，以升级版</w:t>
      </w:r>
      <w:r>
        <w:rPr>
          <w:rFonts w:hint="eastAsia" w:ascii="楷体" w:hAnsi="楷体" w:eastAsia="楷体" w:cs="宋体"/>
          <w:color w:val="000000" w:themeColor="text1"/>
          <w:kern w:val="0"/>
          <w:sz w:val="28"/>
          <w:szCs w:val="28"/>
          <w:lang w:val="en-US" w:eastAsia="zh-CN"/>
          <w14:textFill>
            <w14:solidFill>
              <w14:schemeClr w14:val="tx1"/>
            </w14:solidFill>
          </w14:textFill>
        </w:rPr>
        <w:t>为准</w:t>
      </w:r>
      <w:r>
        <w:rPr>
          <w:rFonts w:hint="eastAsia" w:ascii="楷体" w:hAnsi="楷体" w:eastAsia="楷体" w:cs="宋体"/>
          <w:color w:val="000000" w:themeColor="text1"/>
          <w:kern w:val="0"/>
          <w:sz w:val="28"/>
          <w:szCs w:val="28"/>
          <w14:textFill>
            <w14:solidFill>
              <w14:schemeClr w14:val="tx1"/>
            </w14:solidFill>
          </w14:textFill>
        </w:rPr>
        <w:t>；如上级单位有明确要求的，遵其执行。</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9.学术与科研活动成果须有相应科研实验记录和原始数据的支持。</w:t>
      </w:r>
    </w:p>
    <w:p>
      <w:pPr>
        <w:pStyle w:val="6"/>
        <w:widowControl/>
        <w:spacing w:before="150" w:beforeAutospacing="0" w:after="150" w:afterAutospacing="0"/>
        <w:ind w:firstLine="560" w:firstLineChars="200"/>
        <w:jc w:val="both"/>
        <w:rPr>
          <w:rFonts w:ascii="仿宋" w:hAnsi="仿宋" w:eastAsia="仿宋" w:cs="宋体"/>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（四）社会活动</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社会活动的计分按照《苏州大学苏州医学院公共卫生学院研究生社会服务工作管理条例》规定执行，满分1</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分。</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学生需参加学院安排的讲座、会议等活动。根据人数要求自愿报名，剩余人数由低年级到高年级同学按学号顺序安排补足，优先安排低年级同学参加。学院安排的讲座、会议等活动拒不参加者，扣除相应学院社会服务分，具体按照《苏州大学苏州医学院公共卫生学院研究生社会服务工作管理条例》中规定执行。</w:t>
      </w:r>
    </w:p>
    <w:p>
      <w:pPr>
        <w:ind w:firstLine="562" w:firstLineChars="200"/>
        <w:rPr>
          <w:rFonts w:ascii="仿宋" w:hAnsi="仿宋" w:eastAsia="仿宋"/>
          <w:b/>
          <w:bCs/>
          <w:color w:val="000000" w:themeColor="text1"/>
          <w:sz w:val="28"/>
          <w:szCs w:val="21"/>
          <w14:textFill>
            <w14:solidFill>
              <w14:schemeClr w14:val="tx1"/>
            </w14:solidFill>
          </w14:textFill>
        </w:rPr>
      </w:pPr>
    </w:p>
    <w:p>
      <w:pPr>
        <w:ind w:firstLine="562" w:firstLineChars="200"/>
        <w:jc w:val="center"/>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第三章　评审组织与程序</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第八条 评审组织与程序</w:t>
      </w:r>
    </w:p>
    <w:p>
      <w:pPr>
        <w:ind w:firstLine="560" w:firstLineChars="200"/>
        <w:rPr>
          <w:rFonts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w:t>
      </w:r>
      <w:r>
        <w:rPr>
          <w:rFonts w:ascii="仿宋" w:hAnsi="仿宋" w:eastAsia="仿宋"/>
          <w:color w:val="000000" w:themeColor="text1"/>
          <w:sz w:val="28"/>
          <w:szCs w:val="21"/>
          <w14:textFill>
            <w14:solidFill>
              <w14:schemeClr w14:val="tx1"/>
            </w14:solidFill>
          </w14:textFill>
        </w:rPr>
        <w:t>.</w:t>
      </w:r>
      <w:r>
        <w:rPr>
          <w:rFonts w:hint="eastAsia" w:ascii="仿宋" w:hAnsi="仿宋" w:eastAsia="仿宋"/>
          <w:color w:val="000000" w:themeColor="text1"/>
          <w:sz w:val="28"/>
          <w:szCs w:val="21"/>
          <w14:textFill>
            <w14:solidFill>
              <w14:schemeClr w14:val="tx1"/>
            </w14:solidFill>
          </w14:textFill>
        </w:rPr>
        <w:t>学院成立“研究生捐赠奖（助）学金评审委员会”，由学院领导、导师代表、研究生管理人员、研究生代表等组成，负责本单位研究生捐赠奖（助）学金评定的细则制定、申请组织、初评、报审和复议等工作；</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符合申报条件的研究生自愿申报，填写相关表格并提供相应证明材料，交所在年级负责人；</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 学院对申报材料进行认真审核，对申报人的学习状况、社会活动、科研成果和获奖情况进行核定、排名；</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学院研究生</w:t>
      </w:r>
      <w:r>
        <w:rPr>
          <w:rFonts w:hint="eastAsia" w:ascii="仿宋" w:hAnsi="仿宋" w:eastAsia="仿宋"/>
          <w:color w:val="000000" w:themeColor="text1"/>
          <w:sz w:val="28"/>
          <w:szCs w:val="21"/>
          <w14:textFill>
            <w14:solidFill>
              <w14:schemeClr w14:val="tx1"/>
            </w14:solidFill>
          </w14:textFill>
        </w:rPr>
        <w:t>捐赠奖（助）学金评审</w:t>
      </w:r>
      <w:r>
        <w:rPr>
          <w:rFonts w:hint="eastAsia" w:ascii="仿宋" w:hAnsi="仿宋" w:eastAsia="仿宋"/>
          <w:color w:val="000000" w:themeColor="text1"/>
          <w:sz w:val="28"/>
          <w:szCs w:val="28"/>
          <w14:textFill>
            <w14:solidFill>
              <w14:schemeClr w14:val="tx1"/>
            </w14:solidFill>
          </w14:textFill>
        </w:rPr>
        <w:t>委员会对本学院申报材料进行评审，确定本学院拟获奖学生名单，并在学院内进行不少于5个工作日的公示，公示无异议后，提交上一级评审单位审批。</w:t>
      </w:r>
    </w:p>
    <w:p>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第九条 对研究生捐赠奖（助）学金评审结果有异议的，可在学院公示阶段向</w:t>
      </w:r>
      <w:r>
        <w:rPr>
          <w:rFonts w:hint="eastAsia" w:ascii="仿宋" w:hAnsi="仿宋" w:eastAsia="仿宋"/>
          <w:color w:val="000000" w:themeColor="text1"/>
          <w:sz w:val="28"/>
          <w:szCs w:val="28"/>
          <w14:textFill>
            <w14:solidFill>
              <w14:schemeClr w14:val="tx1"/>
            </w14:solidFill>
          </w14:textFill>
        </w:rPr>
        <w:t>学院研究生</w:t>
      </w:r>
      <w:r>
        <w:rPr>
          <w:rFonts w:hint="eastAsia" w:ascii="仿宋" w:hAnsi="仿宋" w:eastAsia="仿宋"/>
          <w:color w:val="000000" w:themeColor="text1"/>
          <w:sz w:val="28"/>
          <w:szCs w:val="21"/>
          <w14:textFill>
            <w14:solidFill>
              <w14:schemeClr w14:val="tx1"/>
            </w14:solidFill>
          </w14:textFill>
        </w:rPr>
        <w:t>捐赠奖（助）学金评审</w:t>
      </w:r>
      <w:r>
        <w:rPr>
          <w:rFonts w:hint="eastAsia" w:ascii="仿宋" w:hAnsi="仿宋" w:eastAsia="仿宋"/>
          <w:color w:val="000000" w:themeColor="text1"/>
          <w:sz w:val="28"/>
          <w:szCs w:val="28"/>
          <w14:textFill>
            <w14:solidFill>
              <w14:schemeClr w14:val="tx1"/>
            </w14:solidFill>
          </w14:textFill>
        </w:rPr>
        <w:t>委员会</w:t>
      </w:r>
      <w:r>
        <w:rPr>
          <w:rFonts w:hint="eastAsia" w:ascii="仿宋" w:hAnsi="仿宋" w:eastAsia="仿宋"/>
          <w:color w:val="000000" w:themeColor="text1"/>
          <w:sz w:val="28"/>
          <w14:textFill>
            <w14:solidFill>
              <w14:schemeClr w14:val="tx1"/>
            </w14:solidFill>
          </w14:textFill>
        </w:rPr>
        <w:t>提出申诉，评审委员会应及时研究并予以答复。</w:t>
      </w:r>
    </w:p>
    <w:p>
      <w:pPr>
        <w:ind w:firstLine="562" w:firstLineChars="200"/>
        <w:jc w:val="center"/>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第四章　附则</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本实施细则自202</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28</w:t>
      </w:r>
      <w:r>
        <w:rPr>
          <w:rFonts w:hint="eastAsia" w:ascii="仿宋" w:hAnsi="仿宋" w:eastAsia="仿宋"/>
          <w:color w:val="000000" w:themeColor="text1"/>
          <w:sz w:val="28"/>
          <w:szCs w:val="28"/>
          <w14:textFill>
            <w14:solidFill>
              <w14:schemeClr w14:val="tx1"/>
            </w14:solidFill>
          </w14:textFill>
        </w:rPr>
        <w:t>日开始实施。</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第十一条 本实施细则由苏州大学苏州医学院公共卫生学院学生工作办公室负责解释，自颁布之日起执行。</w:t>
      </w:r>
    </w:p>
    <w:p>
      <w:pPr>
        <w:ind w:firstLine="560" w:firstLineChars="200"/>
        <w:rPr>
          <w:rFonts w:ascii="仿宋" w:hAnsi="仿宋" w:eastAsia="仿宋"/>
          <w:color w:val="000000" w:themeColor="text1"/>
          <w:sz w:val="28"/>
          <w14:textFill>
            <w14:solidFill>
              <w14:schemeClr w14:val="tx1"/>
            </w14:solidFill>
          </w14:textFill>
        </w:rPr>
      </w:pPr>
    </w:p>
    <w:p>
      <w:pPr>
        <w:spacing w:line="360" w:lineRule="auto"/>
        <w:ind w:firstLine="560" w:firstLineChars="200"/>
        <w:rPr>
          <w:rFonts w:ascii="仿宋" w:hAnsi="仿宋" w:eastAsia="仿宋"/>
          <w:color w:val="000000" w:themeColor="text1"/>
          <w:sz w:val="28"/>
          <w:szCs w:val="21"/>
          <w14:textFill>
            <w14:solidFill>
              <w14:schemeClr w14:val="tx1"/>
            </w14:solidFill>
          </w14:textFill>
        </w:rPr>
      </w:pPr>
    </w:p>
    <w:p>
      <w:pPr>
        <w:pStyle w:val="10"/>
        <w:spacing w:line="360" w:lineRule="auto"/>
        <w:ind w:left="840" w:firstLine="560"/>
        <w:rPr>
          <w:rFonts w:ascii="仿宋" w:hAnsi="仿宋" w:eastAsia="仿宋"/>
          <w:bCs/>
          <w:color w:val="000000" w:themeColor="text1"/>
          <w:sz w:val="28"/>
          <w:szCs w:val="21"/>
          <w14:textFill>
            <w14:solidFill>
              <w14:schemeClr w14:val="tx1"/>
            </w14:solidFill>
          </w14:textFill>
        </w:rPr>
      </w:pPr>
    </w:p>
    <w:p>
      <w:pPr>
        <w:ind w:firstLine="560" w:firstLineChars="200"/>
        <w:rPr>
          <w:rFonts w:ascii="仿宋" w:hAnsi="仿宋" w:eastAsia="仿宋"/>
          <w:color w:val="000000" w:themeColor="text1"/>
          <w:sz w:val="28"/>
          <w14:textFill>
            <w14:solidFill>
              <w14:schemeClr w14:val="tx1"/>
            </w14:solidFill>
          </w14:textFill>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F7933"/>
    <w:multiLevelType w:val="multilevel"/>
    <w:tmpl w:val="133F7933"/>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NjYxYWVhZWNkNzkzZmNlYzYyOGVjZTJmY2I3Y2QifQ=="/>
  </w:docVars>
  <w:rsids>
    <w:rsidRoot w:val="00E177E1"/>
    <w:rsid w:val="00033DEE"/>
    <w:rsid w:val="00056974"/>
    <w:rsid w:val="00056BF3"/>
    <w:rsid w:val="00075884"/>
    <w:rsid w:val="0008252C"/>
    <w:rsid w:val="00092F16"/>
    <w:rsid w:val="000979BC"/>
    <w:rsid w:val="000C5399"/>
    <w:rsid w:val="00100E0E"/>
    <w:rsid w:val="00151009"/>
    <w:rsid w:val="001678F0"/>
    <w:rsid w:val="00171814"/>
    <w:rsid w:val="001738FB"/>
    <w:rsid w:val="00186023"/>
    <w:rsid w:val="00191D4A"/>
    <w:rsid w:val="001C03DD"/>
    <w:rsid w:val="001D18C3"/>
    <w:rsid w:val="001E1410"/>
    <w:rsid w:val="00202111"/>
    <w:rsid w:val="00206EC0"/>
    <w:rsid w:val="00210A4F"/>
    <w:rsid w:val="00247921"/>
    <w:rsid w:val="00251540"/>
    <w:rsid w:val="00252C0C"/>
    <w:rsid w:val="00266572"/>
    <w:rsid w:val="0028212D"/>
    <w:rsid w:val="0028704D"/>
    <w:rsid w:val="002B29E1"/>
    <w:rsid w:val="002E38D5"/>
    <w:rsid w:val="002F5E6B"/>
    <w:rsid w:val="002F7998"/>
    <w:rsid w:val="00301657"/>
    <w:rsid w:val="00317922"/>
    <w:rsid w:val="00320208"/>
    <w:rsid w:val="00357B47"/>
    <w:rsid w:val="003664CA"/>
    <w:rsid w:val="003678D4"/>
    <w:rsid w:val="00371BC9"/>
    <w:rsid w:val="003F3AF6"/>
    <w:rsid w:val="00411F6B"/>
    <w:rsid w:val="00443903"/>
    <w:rsid w:val="0045047E"/>
    <w:rsid w:val="00456B3B"/>
    <w:rsid w:val="00474099"/>
    <w:rsid w:val="004740E9"/>
    <w:rsid w:val="0047479B"/>
    <w:rsid w:val="0047726C"/>
    <w:rsid w:val="004C7762"/>
    <w:rsid w:val="005C04EB"/>
    <w:rsid w:val="005E3E55"/>
    <w:rsid w:val="005F0A98"/>
    <w:rsid w:val="006254FE"/>
    <w:rsid w:val="00642D29"/>
    <w:rsid w:val="006676BE"/>
    <w:rsid w:val="00675F0E"/>
    <w:rsid w:val="006B13E5"/>
    <w:rsid w:val="006B245D"/>
    <w:rsid w:val="006C0A1F"/>
    <w:rsid w:val="006D608E"/>
    <w:rsid w:val="006E71F8"/>
    <w:rsid w:val="00707CDE"/>
    <w:rsid w:val="00710564"/>
    <w:rsid w:val="00715418"/>
    <w:rsid w:val="007341E3"/>
    <w:rsid w:val="007519D0"/>
    <w:rsid w:val="00786662"/>
    <w:rsid w:val="007875BC"/>
    <w:rsid w:val="007B57D1"/>
    <w:rsid w:val="00815239"/>
    <w:rsid w:val="00836D09"/>
    <w:rsid w:val="008410E4"/>
    <w:rsid w:val="00841470"/>
    <w:rsid w:val="00856B9F"/>
    <w:rsid w:val="008B7237"/>
    <w:rsid w:val="008F0178"/>
    <w:rsid w:val="009065EF"/>
    <w:rsid w:val="0092548C"/>
    <w:rsid w:val="00980CA2"/>
    <w:rsid w:val="009D2E62"/>
    <w:rsid w:val="00A1546A"/>
    <w:rsid w:val="00A528B1"/>
    <w:rsid w:val="00A74648"/>
    <w:rsid w:val="00AA1CCE"/>
    <w:rsid w:val="00AB092E"/>
    <w:rsid w:val="00AE7020"/>
    <w:rsid w:val="00AE7ED3"/>
    <w:rsid w:val="00AF4EA6"/>
    <w:rsid w:val="00B00FA2"/>
    <w:rsid w:val="00B478A0"/>
    <w:rsid w:val="00B71D58"/>
    <w:rsid w:val="00B9438E"/>
    <w:rsid w:val="00BB1D29"/>
    <w:rsid w:val="00BC36D6"/>
    <w:rsid w:val="00BD23AD"/>
    <w:rsid w:val="00C05666"/>
    <w:rsid w:val="00C62622"/>
    <w:rsid w:val="00CA1906"/>
    <w:rsid w:val="00CB55C4"/>
    <w:rsid w:val="00CC054B"/>
    <w:rsid w:val="00CC331E"/>
    <w:rsid w:val="00CE29C4"/>
    <w:rsid w:val="00D60362"/>
    <w:rsid w:val="00D6648E"/>
    <w:rsid w:val="00D85AB9"/>
    <w:rsid w:val="00DC5237"/>
    <w:rsid w:val="00E177E1"/>
    <w:rsid w:val="00E358C0"/>
    <w:rsid w:val="00E72EEB"/>
    <w:rsid w:val="00E92C8E"/>
    <w:rsid w:val="00EA6B3A"/>
    <w:rsid w:val="00EB2675"/>
    <w:rsid w:val="00EE379A"/>
    <w:rsid w:val="00EE3CA3"/>
    <w:rsid w:val="00EF48F0"/>
    <w:rsid w:val="00F642BC"/>
    <w:rsid w:val="00F66D03"/>
    <w:rsid w:val="00F91CE2"/>
    <w:rsid w:val="00FB166A"/>
    <w:rsid w:val="011E7F46"/>
    <w:rsid w:val="07E55E71"/>
    <w:rsid w:val="0EA75C26"/>
    <w:rsid w:val="10234F21"/>
    <w:rsid w:val="15F265E5"/>
    <w:rsid w:val="1ABD71F4"/>
    <w:rsid w:val="1B343741"/>
    <w:rsid w:val="2EA51102"/>
    <w:rsid w:val="3B33656D"/>
    <w:rsid w:val="4CB640FA"/>
    <w:rsid w:val="4EB82FA7"/>
    <w:rsid w:val="54D365F7"/>
    <w:rsid w:val="577428C5"/>
    <w:rsid w:val="5A907969"/>
    <w:rsid w:val="70EA3F4A"/>
    <w:rsid w:val="7C1E4A1D"/>
    <w:rsid w:val="7F8A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1"/>
    <w:qFormat/>
    <w:uiPriority w:val="1"/>
    <w:pPr>
      <w:ind w:left="120"/>
    </w:pPr>
    <w:rPr>
      <w:rFonts w:ascii="宋体" w:hAnsi="宋体"/>
      <w:sz w:val="24"/>
      <w:szCs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正文文本 字符"/>
    <w:basedOn w:val="9"/>
    <w:link w:val="3"/>
    <w:qFormat/>
    <w:uiPriority w:val="1"/>
    <w:rPr>
      <w:rFonts w:ascii="宋体" w:hAnsi="宋体" w:eastAsia="宋体" w:cs="Times New Roman"/>
      <w:sz w:val="24"/>
      <w:szCs w:val="24"/>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2565</Words>
  <Characters>2679</Characters>
  <Lines>19</Lines>
  <Paragraphs>5</Paragraphs>
  <TotalTime>2</TotalTime>
  <ScaleCrop>false</ScaleCrop>
  <LinksUpToDate>false</LinksUpToDate>
  <CharactersWithSpaces>2703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2021-11-09T06:35:00Z</dcterms:created>
  <dc:creator>sky</dc:creator>
  <cp:lastModifiedBy>John Hugo</cp:lastModifiedBy>
  <cp:lastPrinted>2023-09-28T01:31:04Z</cp:lastPrinted>
  <dcterms:modified xsi:type="dcterms:W3CDTF">2023-09-28T01:32:21Z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4D88C8B41CB3416FA35A5011F2A2207B</vt:lpwstr>
  </property>
</Properties>
</file>